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B8DD6" w14:textId="2C69CCF6" w:rsidR="000B14F0" w:rsidRPr="00151785" w:rsidRDefault="00C976A6" w:rsidP="00377CA6">
      <w:pPr>
        <w:pStyle w:val="MEME-Cmso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="007B1F6B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„lekérhető” </w:t>
      </w:r>
      <w:r w:rsidR="006E4368" w:rsidRPr="006E4368">
        <w:rPr>
          <w:rFonts w:asciiTheme="minorHAnsi" w:hAnsiTheme="minorHAnsi" w:cstheme="minorHAnsi"/>
          <w:color w:val="000000" w:themeColor="text1"/>
        </w:rPr>
        <w:t>sorozat</w:t>
      </w:r>
      <w:r>
        <w:rPr>
          <w:rFonts w:asciiTheme="minorHAnsi" w:hAnsiTheme="minorHAnsi" w:cstheme="minorHAnsi"/>
          <w:color w:val="000000" w:themeColor="text1"/>
        </w:rPr>
        <w:t>-</w:t>
      </w:r>
      <w:r w:rsidR="007B1F6B">
        <w:rPr>
          <w:rFonts w:asciiTheme="minorHAnsi" w:hAnsiTheme="minorHAnsi" w:cstheme="minorHAnsi"/>
          <w:color w:val="000000" w:themeColor="text1"/>
        </w:rPr>
        <w:t>darálás</w:t>
      </w:r>
      <w:r w:rsidR="00070CB8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népszerűsége ellenére a hagyomá</w:t>
      </w:r>
      <w:r w:rsidR="00842867" w:rsidRPr="00151785">
        <w:rPr>
          <w:rFonts w:asciiTheme="minorHAnsi" w:hAnsiTheme="minorHAnsi" w:cstheme="minorHAnsi"/>
          <w:color w:val="000000" w:themeColor="text1"/>
        </w:rPr>
        <w:t>nyos tévénézés</w:t>
      </w:r>
      <w:r w:rsidR="00070CB8">
        <w:rPr>
          <w:rFonts w:asciiTheme="minorHAnsi" w:hAnsiTheme="minorHAnsi" w:cstheme="minorHAnsi"/>
          <w:color w:val="000000" w:themeColor="text1"/>
        </w:rPr>
        <w:t xml:space="preserve"> erős pozíciója elvitathatatlan</w:t>
      </w:r>
    </w:p>
    <w:p w14:paraId="0A7BE1A8" w14:textId="2DF7C295" w:rsidR="00C855B6" w:rsidRPr="00C855B6" w:rsidRDefault="00C855B6" w:rsidP="00C855B6">
      <w:pPr>
        <w:pStyle w:val="MEME-szveg"/>
        <w:rPr>
          <w:rFonts w:cstheme="minorHAnsi"/>
          <w:b/>
        </w:rPr>
      </w:pPr>
      <w:r w:rsidRPr="00C855B6">
        <w:rPr>
          <w:rFonts w:cstheme="minorHAnsi"/>
          <w:b/>
        </w:rPr>
        <w:t xml:space="preserve">Bár a nemlineáris </w:t>
      </w:r>
      <w:proofErr w:type="spellStart"/>
      <w:r w:rsidRPr="00C855B6">
        <w:rPr>
          <w:rFonts w:cstheme="minorHAnsi"/>
          <w:b/>
        </w:rPr>
        <w:t>tévézés</w:t>
      </w:r>
      <w:proofErr w:type="spellEnd"/>
      <w:r w:rsidRPr="00C855B6">
        <w:rPr>
          <w:rFonts w:cstheme="minorHAnsi"/>
          <w:b/>
        </w:rPr>
        <w:t xml:space="preserve"> sok előnnyel kecsegtet, egyelőre</w:t>
      </w:r>
      <w:r w:rsidR="004514F1">
        <w:rPr>
          <w:rFonts w:cstheme="minorHAnsi"/>
          <w:b/>
        </w:rPr>
        <w:t xml:space="preserve"> nem </w:t>
      </w:r>
      <w:r w:rsidRPr="00C855B6">
        <w:rPr>
          <w:rFonts w:cstheme="minorHAnsi"/>
          <w:b/>
        </w:rPr>
        <w:t xml:space="preserve">– és a válaszok alapján a közeljövőben </w:t>
      </w:r>
      <w:r w:rsidR="004514F1">
        <w:rPr>
          <w:rFonts w:cstheme="minorHAnsi"/>
          <w:b/>
        </w:rPr>
        <w:t xml:space="preserve">sem </w:t>
      </w:r>
      <w:r w:rsidR="00AC4B28">
        <w:rPr>
          <w:rFonts w:cstheme="minorHAnsi"/>
          <w:b/>
        </w:rPr>
        <w:t xml:space="preserve">– </w:t>
      </w:r>
      <w:r w:rsidR="004514F1">
        <w:rPr>
          <w:rFonts w:cstheme="minorHAnsi"/>
          <w:b/>
        </w:rPr>
        <w:t>fog</w:t>
      </w:r>
      <w:r w:rsidR="00AC4B28">
        <w:rPr>
          <w:rFonts w:cstheme="minorHAnsi"/>
          <w:b/>
        </w:rPr>
        <w:t xml:space="preserve">ja kiszorítani </w:t>
      </w:r>
      <w:r w:rsidRPr="00C855B6">
        <w:rPr>
          <w:rFonts w:cstheme="minorHAnsi"/>
          <w:b/>
        </w:rPr>
        <w:t xml:space="preserve">a hagyományos </w:t>
      </w:r>
      <w:proofErr w:type="spellStart"/>
      <w:r w:rsidRPr="00C855B6">
        <w:rPr>
          <w:rFonts w:cstheme="minorHAnsi"/>
          <w:b/>
        </w:rPr>
        <w:t>tévézést</w:t>
      </w:r>
      <w:proofErr w:type="spellEnd"/>
      <w:r w:rsidR="00AC4B2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– derült ki abból az új kutatásból, amely </w:t>
      </w:r>
      <w:r w:rsidRPr="00C855B6">
        <w:rPr>
          <w:rFonts w:cstheme="minorHAnsi"/>
          <w:b/>
        </w:rPr>
        <w:t>a Magyar Elektronikus Műsorszolgáltatók Egyesülete és a Nemzeti Média- és Hírközlési Hatóság együttműködésében készült.</w:t>
      </w:r>
    </w:p>
    <w:p w14:paraId="3831A253" w14:textId="67080565" w:rsidR="00BA16F9" w:rsidRPr="00BA16F9" w:rsidRDefault="00BA16F9" w:rsidP="00BA16F9">
      <w:pPr>
        <w:pStyle w:val="MEME-szveg"/>
        <w:rPr>
          <w:rFonts w:cstheme="minorHAnsi"/>
        </w:rPr>
      </w:pPr>
      <w:r w:rsidRPr="00BA16F9">
        <w:rPr>
          <w:rFonts w:cstheme="minorHAnsi"/>
        </w:rPr>
        <w:t>A hír- és tartalomfogyasztás kielégítését célzó média különféle üzleti modelleket dolgozott ki az elmúlt években. Ezek között megtaláljuk a teljes egészében hirdetési bevételből finanszírozott</w:t>
      </w:r>
      <w:r w:rsidR="006909C9">
        <w:rPr>
          <w:rFonts w:cstheme="minorHAnsi"/>
        </w:rPr>
        <w:t>,</w:t>
      </w:r>
      <w:r w:rsidRPr="00BA16F9">
        <w:rPr>
          <w:rFonts w:cstheme="minorHAnsi"/>
        </w:rPr>
        <w:t xml:space="preserve"> és a teljes egészében a fogyasztó által finanszírozott megoldásokat is, illetve a két véglet közötti hibrid formákat is. Mindezek tükrében érdekes kérdés, hogy hogyan alakul a hagyományos TV-nézés </w:t>
      </w:r>
      <w:r w:rsidR="006909C9">
        <w:rPr>
          <w:rFonts w:cstheme="minorHAnsi"/>
        </w:rPr>
        <w:t>és</w:t>
      </w:r>
      <w:r w:rsidRPr="00BA16F9">
        <w:rPr>
          <w:rFonts w:cstheme="minorHAnsi"/>
        </w:rPr>
        <w:t xml:space="preserve"> az úgynevezett „lekérhető” streaming tartalomfogyasztás aránya. Többek között erre a kérdésre is választ kaphattunk a MEME, a Magyar Elektronikus Műsorszolgáltatók Egyesülete és az NMHH, a Nemzeti Média- és Hírközlési Hatóság együttműködésében készült legújabb kutatásból, melyben 3000 magyar háztartás megkérdezésére került sor, országosan reprezentatív adatfelvétel segítségével. </w:t>
      </w:r>
    </w:p>
    <w:p w14:paraId="632D1860" w14:textId="66941E6B" w:rsidR="00BA16F9" w:rsidRPr="00BA16F9" w:rsidRDefault="00BA16F9" w:rsidP="00BA16F9">
      <w:pPr>
        <w:pStyle w:val="MEME-szveg"/>
        <w:rPr>
          <w:rFonts w:cstheme="minorHAnsi"/>
          <w:b/>
          <w:bCs/>
        </w:rPr>
      </w:pPr>
      <w:r w:rsidRPr="00BA16F9">
        <w:rPr>
          <w:rFonts w:cstheme="minorHAnsi"/>
          <w:b/>
          <w:bCs/>
        </w:rPr>
        <w:t>A televíziókészülék az első</w:t>
      </w:r>
      <w:r w:rsidR="00E2518A">
        <w:rPr>
          <w:rFonts w:cstheme="minorHAnsi"/>
          <w:b/>
          <w:bCs/>
        </w:rPr>
        <w:t xml:space="preserve"> </w:t>
      </w:r>
      <w:r w:rsidRPr="00BA16F9">
        <w:rPr>
          <w:rFonts w:cstheme="minorHAnsi"/>
          <w:b/>
          <w:bCs/>
        </w:rPr>
        <w:t>számú eszköz</w:t>
      </w:r>
    </w:p>
    <w:p w14:paraId="540D0CFD" w14:textId="5B5FED46" w:rsidR="00BA16F9" w:rsidRPr="00BA16F9" w:rsidRDefault="00BA16F9" w:rsidP="00BA16F9">
      <w:pPr>
        <w:pStyle w:val="MEME-szveg"/>
        <w:rPr>
          <w:rFonts w:cstheme="minorHAnsi"/>
        </w:rPr>
      </w:pPr>
      <w:r w:rsidRPr="00BA16F9">
        <w:rPr>
          <w:rFonts w:cstheme="minorHAnsi"/>
        </w:rPr>
        <w:t>Nem kérdés, hogy a tévékészülék mellett egyre több alternatív, a különböző médiatartalmak lejátszására alkalmas eszköz jelenik meg, mint például a laptopok, okostelefonok és tabletek. Azonban még így is kijelenthetjük, hogy a tévékészülék a mozgóképes tartalomfogyasztás első</w:t>
      </w:r>
      <w:r w:rsidR="00E2518A">
        <w:rPr>
          <w:rFonts w:cstheme="minorHAnsi"/>
        </w:rPr>
        <w:t xml:space="preserve"> </w:t>
      </w:r>
      <w:r w:rsidRPr="00BA16F9">
        <w:rPr>
          <w:rFonts w:cstheme="minorHAnsi"/>
        </w:rPr>
        <w:t xml:space="preserve">számú eszköze.  </w:t>
      </w:r>
    </w:p>
    <w:p w14:paraId="13B83841" w14:textId="77777777" w:rsidR="00BA16F9" w:rsidRPr="00BA16F9" w:rsidRDefault="00BA16F9" w:rsidP="00BA16F9">
      <w:pPr>
        <w:pStyle w:val="MEME-szveg"/>
        <w:rPr>
          <w:rFonts w:cstheme="minorHAnsi"/>
        </w:rPr>
      </w:pPr>
      <w:r w:rsidRPr="00BA16F9">
        <w:rPr>
          <w:rFonts w:cstheme="minorHAnsi"/>
        </w:rPr>
        <w:t>Akár a tévécsatornákon éppen sugárzott adások megtekintéséről, akár a streaming szolgáltatóktól „letölthető” tartalmakról beszélünk, a tévékészülék hegemóniája egyelőre megkérdőjelezhetetlen [1. ábra].</w:t>
      </w:r>
    </w:p>
    <w:p w14:paraId="1D52D022" w14:textId="2B20D9CB" w:rsidR="00BA16F9" w:rsidRPr="00BA16F9" w:rsidRDefault="00BA16F9" w:rsidP="00BA16F9">
      <w:pPr>
        <w:pStyle w:val="MEME-szveg"/>
        <w:rPr>
          <w:rFonts w:cstheme="minorHAnsi"/>
        </w:rPr>
      </w:pPr>
      <w:r w:rsidRPr="00BA16F9">
        <w:rPr>
          <w:rFonts w:cstheme="minorHAnsi"/>
        </w:rPr>
        <w:t xml:space="preserve">A további eszközök, mint például a laptopok, számítógépek, okostelefonok vagy tabletek jelentősége valamelyest </w:t>
      </w:r>
      <w:proofErr w:type="spellStart"/>
      <w:r w:rsidRPr="00BA16F9">
        <w:rPr>
          <w:rFonts w:cstheme="minorHAnsi"/>
        </w:rPr>
        <w:t>felértékelődik</w:t>
      </w:r>
      <w:proofErr w:type="spellEnd"/>
      <w:r w:rsidRPr="00BA16F9">
        <w:rPr>
          <w:rFonts w:cstheme="minorHAnsi"/>
        </w:rPr>
        <w:t>, amikor előfizetéses streaming szolgáltatókon keresztül elérhető tartalmak lejátszásáról van szó, azonban a tévékészülékek vezető pozíciój</w:t>
      </w:r>
      <w:r w:rsidR="00E2518A">
        <w:rPr>
          <w:rFonts w:cstheme="minorHAnsi"/>
        </w:rPr>
        <w:t>ához</w:t>
      </w:r>
      <w:r w:rsidRPr="00BA16F9">
        <w:rPr>
          <w:rFonts w:cstheme="minorHAnsi"/>
        </w:rPr>
        <w:t xml:space="preserve"> még ezen tartalmak esetében </w:t>
      </w:r>
      <w:r w:rsidR="00E2518A">
        <w:rPr>
          <w:rFonts w:cstheme="minorHAnsi"/>
        </w:rPr>
        <w:t>sem férhet kétség</w:t>
      </w:r>
      <w:r w:rsidRPr="00BA16F9">
        <w:rPr>
          <w:rFonts w:cstheme="minorHAnsi"/>
        </w:rPr>
        <w:t>.  Tíz háztartásból kilenc televíziókészüléken keresztül (is) követi az éppen sugárzott műsorokat, de még az egyéb fizetős vagy ingyenes tartalmak esetében is több mint 80%-os szerephez jutnak a tévékészülékek. A tévékészülékeket általában előnyben részesítik a férfiak, a nagyobb, kiskorú gyermekeket is nevelő családok, illetve a jobb anyagi körülmények között élő háztartások.</w:t>
      </w:r>
    </w:p>
    <w:p w14:paraId="5C413503" w14:textId="5E768562" w:rsidR="00943D0C" w:rsidRPr="00151785" w:rsidRDefault="00943D0C" w:rsidP="00943D0C">
      <w:pPr>
        <w:pStyle w:val="MEME-szveg"/>
        <w:rPr>
          <w:rFonts w:cstheme="minorHAnsi"/>
        </w:rPr>
      </w:pPr>
    </w:p>
    <w:p w14:paraId="1D68F2ED" w14:textId="77777777" w:rsidR="00D61F1A" w:rsidRDefault="00943D0C" w:rsidP="00D61F1A">
      <w:pPr>
        <w:pStyle w:val="MEME-szveg"/>
        <w:keepNext/>
        <w:jc w:val="center"/>
      </w:pPr>
      <w:r>
        <w:rPr>
          <w:noProof/>
        </w:rPr>
        <w:lastRenderedPageBreak/>
        <w:drawing>
          <wp:inline distT="0" distB="0" distL="0" distR="0" wp14:anchorId="25EB0B42" wp14:editId="50254763">
            <wp:extent cx="5800725" cy="3705225"/>
            <wp:effectExtent l="0" t="0" r="9525" b="9525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E7ED67" w14:textId="4417E940" w:rsidR="00943D0C" w:rsidRDefault="00E27C87" w:rsidP="00D61F1A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0" w:name="_Toc118731080"/>
      <w:r w:rsidR="00413A01">
        <w:rPr>
          <w:noProof/>
        </w:rPr>
        <w:t>1</w:t>
      </w:r>
      <w:r>
        <w:rPr>
          <w:noProof/>
        </w:rPr>
        <w:fldChar w:fldCharType="end"/>
      </w:r>
      <w:r w:rsidR="00D61F1A">
        <w:t>. ábra</w:t>
      </w:r>
      <w:bookmarkEnd w:id="0"/>
    </w:p>
    <w:p w14:paraId="0DD949F0" w14:textId="6548CCBB" w:rsidR="00BA16F9" w:rsidRPr="00BA16F9" w:rsidRDefault="00BA16F9" w:rsidP="00BA16F9">
      <w:pPr>
        <w:pStyle w:val="MEME-szveg"/>
        <w:rPr>
          <w:rFonts w:cstheme="minorHAnsi"/>
          <w:b/>
          <w:bCs/>
        </w:rPr>
      </w:pPr>
      <w:r w:rsidRPr="00BA16F9">
        <w:rPr>
          <w:rFonts w:cstheme="minorHAnsi"/>
          <w:b/>
          <w:bCs/>
        </w:rPr>
        <w:t xml:space="preserve">A hagyományos </w:t>
      </w:r>
      <w:proofErr w:type="spellStart"/>
      <w:proofErr w:type="gramStart"/>
      <w:r w:rsidRPr="00BA16F9">
        <w:rPr>
          <w:rFonts w:cstheme="minorHAnsi"/>
          <w:b/>
          <w:bCs/>
        </w:rPr>
        <w:t>tévézés</w:t>
      </w:r>
      <w:proofErr w:type="spellEnd"/>
      <w:r w:rsidRPr="00BA16F9">
        <w:rPr>
          <w:rFonts w:cstheme="minorHAnsi"/>
          <w:b/>
          <w:bCs/>
        </w:rPr>
        <w:t xml:space="preserve">  és</w:t>
      </w:r>
      <w:proofErr w:type="gramEnd"/>
      <w:r w:rsidRPr="00BA16F9">
        <w:rPr>
          <w:rFonts w:cstheme="minorHAnsi"/>
          <w:b/>
          <w:bCs/>
        </w:rPr>
        <w:t xml:space="preserve"> </w:t>
      </w:r>
      <w:r w:rsidR="00660B53">
        <w:rPr>
          <w:rFonts w:cstheme="minorHAnsi"/>
          <w:b/>
          <w:bCs/>
        </w:rPr>
        <w:t xml:space="preserve">a </w:t>
      </w:r>
      <w:r w:rsidRPr="00BA16F9">
        <w:rPr>
          <w:rFonts w:cstheme="minorHAnsi"/>
          <w:b/>
          <w:bCs/>
        </w:rPr>
        <w:t>„lekérhető” tartalmak viszonya</w:t>
      </w:r>
    </w:p>
    <w:p w14:paraId="20A1AB2E" w14:textId="7FB14F21" w:rsidR="00117144" w:rsidRPr="00E46649" w:rsidRDefault="00BA16F9" w:rsidP="00943D0C">
      <w:pPr>
        <w:pStyle w:val="MEME-szveg"/>
        <w:rPr>
          <w:rFonts w:cstheme="minorHAnsi"/>
        </w:rPr>
      </w:pPr>
      <w:r w:rsidRPr="00BA16F9">
        <w:rPr>
          <w:rFonts w:cstheme="minorHAnsi"/>
        </w:rPr>
        <w:t xml:space="preserve">A kutatás </w:t>
      </w:r>
      <w:r w:rsidR="00660B53">
        <w:rPr>
          <w:rFonts w:cstheme="minorHAnsi"/>
        </w:rPr>
        <w:t>egyik</w:t>
      </w:r>
      <w:r w:rsidRPr="00BA16F9">
        <w:rPr>
          <w:rFonts w:cstheme="minorHAnsi"/>
        </w:rPr>
        <w:t xml:space="preserve"> kulcskérdés</w:t>
      </w:r>
      <w:r w:rsidR="00660B53">
        <w:rPr>
          <w:rFonts w:cstheme="minorHAnsi"/>
        </w:rPr>
        <w:t>e</w:t>
      </w:r>
      <w:r w:rsidRPr="00BA16F9">
        <w:rPr>
          <w:rFonts w:cstheme="minorHAnsi"/>
        </w:rPr>
        <w:t xml:space="preserve"> volt, hogy a nemlineáris </w:t>
      </w:r>
      <w:proofErr w:type="spellStart"/>
      <w:r w:rsidRPr="00BA16F9">
        <w:rPr>
          <w:rFonts w:cstheme="minorHAnsi"/>
        </w:rPr>
        <w:t>tévézés</w:t>
      </w:r>
      <w:proofErr w:type="spellEnd"/>
      <w:r w:rsidRPr="00BA16F9">
        <w:rPr>
          <w:rFonts w:cstheme="minorHAnsi"/>
        </w:rPr>
        <w:t xml:space="preserve">, azaz a korábban rögzített, tévé- vagy streaming-szolgáltatón keresztül kölcsönzött, illetve interneten akár díjmentesen elérhető tartalmak megtekintése a tévénézésre fordított összes időn belüli aránya milyen mértékben közelítette meg a hagyományos </w:t>
      </w:r>
      <w:proofErr w:type="spellStart"/>
      <w:r w:rsidRPr="00BA16F9">
        <w:rPr>
          <w:rFonts w:cstheme="minorHAnsi"/>
        </w:rPr>
        <w:t>tévézését</w:t>
      </w:r>
      <w:proofErr w:type="spellEnd"/>
      <w:r w:rsidRPr="00BA16F9">
        <w:rPr>
          <w:rFonts w:cstheme="minorHAnsi"/>
        </w:rPr>
        <w:t xml:space="preserve">, vagyis amikor a családok, háztartások a televízióadók által éppen adásban lévő tartalmakat tekintenek meg (lineáris </w:t>
      </w:r>
      <w:proofErr w:type="spellStart"/>
      <w:r w:rsidRPr="00BA16F9">
        <w:rPr>
          <w:rFonts w:cstheme="minorHAnsi"/>
        </w:rPr>
        <w:t>tévézés</w:t>
      </w:r>
      <w:proofErr w:type="spellEnd"/>
      <w:r w:rsidRPr="00BA16F9">
        <w:rPr>
          <w:rFonts w:cstheme="minorHAnsi"/>
        </w:rPr>
        <w:t xml:space="preserve">). </w:t>
      </w:r>
      <w:r w:rsidR="00E90A3D">
        <w:rPr>
          <w:rFonts w:cstheme="minorHAnsi"/>
        </w:rPr>
        <w:t>A felmérés azt is vizsgálta,</w:t>
      </w:r>
      <w:r w:rsidR="00117144" w:rsidRPr="00E46649">
        <w:rPr>
          <w:rFonts w:cstheme="minorHAnsi"/>
        </w:rPr>
        <w:t xml:space="preserve"> milyen irányban folytatódik ez a tendencia a közeljövőben a válaszadók</w:t>
      </w:r>
      <w:r w:rsidR="000B4F10" w:rsidRPr="00E46649">
        <w:rPr>
          <w:rFonts w:cstheme="minorHAnsi"/>
        </w:rPr>
        <w:t xml:space="preserve"> előrejelzése </w:t>
      </w:r>
      <w:r w:rsidR="00117144" w:rsidRPr="00E46649">
        <w:rPr>
          <w:rFonts w:cstheme="minorHAnsi"/>
        </w:rPr>
        <w:t>szerint: családjuk a jövőben a</w:t>
      </w:r>
      <w:r w:rsidR="008F0367" w:rsidRPr="00E46649">
        <w:rPr>
          <w:rFonts w:cstheme="minorHAnsi"/>
        </w:rPr>
        <w:t xml:space="preserve"> </w:t>
      </w:r>
      <w:r w:rsidR="00117144" w:rsidRPr="00E46649">
        <w:rPr>
          <w:rFonts w:cstheme="minorHAnsi"/>
        </w:rPr>
        <w:t xml:space="preserve">lineáris </w:t>
      </w:r>
      <w:proofErr w:type="spellStart"/>
      <w:r w:rsidR="00117144" w:rsidRPr="00E46649">
        <w:rPr>
          <w:rFonts w:cstheme="minorHAnsi"/>
        </w:rPr>
        <w:t>tévézést</w:t>
      </w:r>
      <w:proofErr w:type="spellEnd"/>
      <w:r w:rsidR="00E90A3D">
        <w:rPr>
          <w:rFonts w:cstheme="minorHAnsi"/>
        </w:rPr>
        <w:t xml:space="preserve"> </w:t>
      </w:r>
      <w:r w:rsidR="00117144" w:rsidRPr="00E46649">
        <w:rPr>
          <w:rFonts w:cstheme="minorHAnsi"/>
        </w:rPr>
        <w:t>vagy a nemlineáris tartalmakat</w:t>
      </w:r>
      <w:r w:rsidR="00E90A3D">
        <w:rPr>
          <w:rFonts w:cstheme="minorHAnsi"/>
        </w:rPr>
        <w:t xml:space="preserve"> </w:t>
      </w:r>
      <w:r w:rsidR="008F0367" w:rsidRPr="00E46649">
        <w:rPr>
          <w:rFonts w:cstheme="minorHAnsi"/>
        </w:rPr>
        <w:t xml:space="preserve">részesítik-e előnyben. </w:t>
      </w:r>
    </w:p>
    <w:p w14:paraId="2FCD028C" w14:textId="748B9568" w:rsidR="008F0367" w:rsidRPr="00E46649" w:rsidRDefault="00F23469" w:rsidP="008F0367">
      <w:pPr>
        <w:pStyle w:val="MEME-szveg"/>
        <w:rPr>
          <w:rFonts w:cstheme="minorHAnsi"/>
        </w:rPr>
      </w:pPr>
      <w:r>
        <w:rPr>
          <w:rFonts w:cstheme="minorHAnsi"/>
        </w:rPr>
        <w:t>Kiderült, hogy a</w:t>
      </w:r>
      <w:r w:rsidR="008F0367" w:rsidRPr="00E46649">
        <w:rPr>
          <w:rFonts w:cstheme="minorHAnsi"/>
        </w:rPr>
        <w:t xml:space="preserve"> kiskorút is nevelő családok, a nagyobb méretű háztartások, a magasabban képzettek és a kedvezőbb anyagi körülmények között élők </w:t>
      </w:r>
      <w:proofErr w:type="spellStart"/>
      <w:r w:rsidR="008F0367" w:rsidRPr="00E46649">
        <w:rPr>
          <w:rFonts w:cstheme="minorHAnsi"/>
        </w:rPr>
        <w:t>tévézési</w:t>
      </w:r>
      <w:proofErr w:type="spellEnd"/>
      <w:r w:rsidR="008F0367" w:rsidRPr="00E46649">
        <w:rPr>
          <w:rFonts w:cstheme="minorHAnsi"/>
        </w:rPr>
        <w:t xml:space="preserve"> szokásaiban nagyobb súllyal jelenik meg a nemlineáris </w:t>
      </w:r>
      <w:proofErr w:type="spellStart"/>
      <w:r w:rsidR="008F0367" w:rsidRPr="00E46649">
        <w:rPr>
          <w:rFonts w:cstheme="minorHAnsi"/>
        </w:rPr>
        <w:t>tévézés</w:t>
      </w:r>
      <w:proofErr w:type="spellEnd"/>
      <w:r w:rsidR="008F0367" w:rsidRPr="00E46649">
        <w:rPr>
          <w:rFonts w:cstheme="minorHAnsi"/>
        </w:rPr>
        <w:t xml:space="preserve">. Szintén kedvez a nemlineáris </w:t>
      </w:r>
      <w:proofErr w:type="spellStart"/>
      <w:r w:rsidR="008F0367" w:rsidRPr="00E46649">
        <w:rPr>
          <w:rFonts w:cstheme="minorHAnsi"/>
        </w:rPr>
        <w:t>tévézés</w:t>
      </w:r>
      <w:proofErr w:type="spellEnd"/>
      <w:r w:rsidR="008F0367" w:rsidRPr="00E46649">
        <w:rPr>
          <w:rFonts w:cstheme="minorHAnsi"/>
        </w:rPr>
        <w:t xml:space="preserve"> gyakoriságának a lakáson belüli fejlett</w:t>
      </w:r>
      <w:r w:rsidR="00755E4F" w:rsidRPr="00E46649">
        <w:rPr>
          <w:rFonts w:cstheme="minorHAnsi"/>
        </w:rPr>
        <w:t>, az ilyen típusú médiafogyasztást lehetővé tevő</w:t>
      </w:r>
      <w:r w:rsidR="008F0367" w:rsidRPr="00E46649">
        <w:rPr>
          <w:rFonts w:cstheme="minorHAnsi"/>
        </w:rPr>
        <w:t xml:space="preserve"> </w:t>
      </w:r>
      <w:r w:rsidR="00E46649">
        <w:rPr>
          <w:rFonts w:cstheme="minorHAnsi"/>
        </w:rPr>
        <w:t xml:space="preserve">technikai </w:t>
      </w:r>
      <w:r w:rsidR="008F0367" w:rsidRPr="00E46649">
        <w:rPr>
          <w:rFonts w:cstheme="minorHAnsi"/>
        </w:rPr>
        <w:t>infrastruktúra, vagyis</w:t>
      </w:r>
      <w:r w:rsidR="00755E4F" w:rsidRPr="00E46649">
        <w:rPr>
          <w:rFonts w:cstheme="minorHAnsi"/>
        </w:rPr>
        <w:t xml:space="preserve"> az a tény</w:t>
      </w:r>
      <w:r w:rsidR="008F0367" w:rsidRPr="00E46649">
        <w:rPr>
          <w:rFonts w:cstheme="minorHAnsi"/>
        </w:rPr>
        <w:t>, h</w:t>
      </w:r>
      <w:r w:rsidR="00755E4F" w:rsidRPr="00E46649">
        <w:rPr>
          <w:rFonts w:cstheme="minorHAnsi"/>
        </w:rPr>
        <w:t>ogy</w:t>
      </w:r>
      <w:r w:rsidR="008F0367" w:rsidRPr="00E46649">
        <w:rPr>
          <w:rFonts w:cstheme="minorHAnsi"/>
        </w:rPr>
        <w:t xml:space="preserve"> a háztartás rendelkezik WIFI-vel, vezetékes internettel. [2. ábra]</w:t>
      </w:r>
    </w:p>
    <w:p w14:paraId="6AA7EEAD" w14:textId="77777777" w:rsidR="009A2B44" w:rsidRDefault="00F84BC0" w:rsidP="009A2B44">
      <w:pPr>
        <w:pStyle w:val="MEME-szveg"/>
        <w:keepNext/>
        <w:jc w:val="center"/>
      </w:pPr>
      <w:r w:rsidRPr="00E46649">
        <w:rPr>
          <w:noProof/>
          <w:color w:val="800000"/>
        </w:rPr>
        <w:lastRenderedPageBreak/>
        <w:drawing>
          <wp:inline distT="0" distB="0" distL="0" distR="0" wp14:anchorId="33021AA8" wp14:editId="7200FF33">
            <wp:extent cx="6096000" cy="5270500"/>
            <wp:effectExtent l="0" t="0" r="0" b="635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AC312CB4-001C-DD16-B34D-27A3F4F6DF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B3AF87F" w14:textId="3007E558" w:rsidR="00F84BC0" w:rsidRDefault="00E27C87" w:rsidP="006A2124">
      <w:pPr>
        <w:pStyle w:val="Kpalrs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1" w:name="_Toc118731081"/>
      <w:r w:rsidR="008F0367">
        <w:rPr>
          <w:noProof/>
        </w:rPr>
        <w:t>2</w:t>
      </w:r>
      <w:r>
        <w:rPr>
          <w:noProof/>
        </w:rPr>
        <w:fldChar w:fldCharType="end"/>
      </w:r>
      <w:r w:rsidR="009A2B44">
        <w:t>. ábra</w:t>
      </w:r>
      <w:bookmarkEnd w:id="1"/>
    </w:p>
    <w:p w14:paraId="76FF99FB" w14:textId="025D87AE" w:rsidR="00832C0B" w:rsidRPr="00E46649" w:rsidRDefault="00832C0B" w:rsidP="00943D0C">
      <w:pPr>
        <w:pStyle w:val="MEME-szveg"/>
        <w:rPr>
          <w:rFonts w:cstheme="minorHAnsi"/>
        </w:rPr>
      </w:pPr>
      <w:r w:rsidRPr="00E46649">
        <w:rPr>
          <w:rFonts w:cstheme="minorHAnsi"/>
        </w:rPr>
        <w:t xml:space="preserve">A </w:t>
      </w:r>
      <w:r w:rsidR="00E46649" w:rsidRPr="00E46649">
        <w:rPr>
          <w:rFonts w:cstheme="minorHAnsi"/>
        </w:rPr>
        <w:t xml:space="preserve">„lekérhető” tartalmak </w:t>
      </w:r>
      <w:r w:rsidR="00F23469">
        <w:rPr>
          <w:rFonts w:cstheme="minorHAnsi"/>
        </w:rPr>
        <w:t xml:space="preserve">időbeli aránya </w:t>
      </w:r>
      <w:r w:rsidR="006C5D50" w:rsidRPr="00E46649">
        <w:rPr>
          <w:rFonts w:cstheme="minorHAnsi"/>
        </w:rPr>
        <w:t xml:space="preserve">a családi </w:t>
      </w:r>
      <w:proofErr w:type="spellStart"/>
      <w:r w:rsidR="006C5D50" w:rsidRPr="00E46649">
        <w:rPr>
          <w:rFonts w:cstheme="minorHAnsi"/>
        </w:rPr>
        <w:t>tévézésen</w:t>
      </w:r>
      <w:proofErr w:type="spellEnd"/>
      <w:r w:rsidR="006C5D50" w:rsidRPr="00E46649">
        <w:rPr>
          <w:rFonts w:cstheme="minorHAnsi"/>
        </w:rPr>
        <w:t xml:space="preserve"> belül</w:t>
      </w:r>
      <w:r w:rsidR="00F23469">
        <w:rPr>
          <w:rFonts w:cstheme="minorHAnsi"/>
        </w:rPr>
        <w:t xml:space="preserve"> jelenleg </w:t>
      </w:r>
      <w:r w:rsidR="00102D9B">
        <w:rPr>
          <w:rFonts w:cstheme="minorHAnsi"/>
        </w:rPr>
        <w:t xml:space="preserve">már </w:t>
      </w:r>
      <w:r w:rsidRPr="00E46649">
        <w:rPr>
          <w:rFonts w:cstheme="minorHAnsi"/>
        </w:rPr>
        <w:t>több mint 40%-os</w:t>
      </w:r>
      <w:r w:rsidR="00F23469">
        <w:rPr>
          <w:rFonts w:cstheme="minorHAnsi"/>
        </w:rPr>
        <w:t xml:space="preserve">, azonban </w:t>
      </w:r>
      <w:r w:rsidR="00102D9B">
        <w:rPr>
          <w:rFonts w:cstheme="minorHAnsi"/>
        </w:rPr>
        <w:t xml:space="preserve">ezek közelmúltban megfigyelhető </w:t>
      </w:r>
      <w:r w:rsidRPr="00E46649">
        <w:rPr>
          <w:rFonts w:cstheme="minorHAnsi"/>
        </w:rPr>
        <w:t>térhódítás</w:t>
      </w:r>
      <w:r w:rsidR="001253D1">
        <w:rPr>
          <w:rFonts w:cstheme="minorHAnsi"/>
        </w:rPr>
        <w:t>ának tendenciája</w:t>
      </w:r>
      <w:r w:rsidR="00F23469">
        <w:rPr>
          <w:rFonts w:cstheme="minorHAnsi"/>
        </w:rPr>
        <w:t xml:space="preserve"> </w:t>
      </w:r>
      <w:r w:rsidRPr="00E46649">
        <w:rPr>
          <w:rFonts w:cstheme="minorHAnsi"/>
        </w:rPr>
        <w:t xml:space="preserve">a jelenlegi gazdasági környezet hatására minden jel szerint lelassul, hovatovább meg is állhat egy időre. </w:t>
      </w:r>
      <w:r w:rsidR="00340587" w:rsidRPr="00E46649">
        <w:rPr>
          <w:rFonts w:cstheme="minorHAnsi"/>
        </w:rPr>
        <w:t xml:space="preserve">Csak minden tizedik háztartásból szorulhat ki a </w:t>
      </w:r>
      <w:r w:rsidR="00113C1F">
        <w:rPr>
          <w:rFonts w:cstheme="minorHAnsi"/>
        </w:rPr>
        <w:t xml:space="preserve">hagyományos </w:t>
      </w:r>
      <w:proofErr w:type="spellStart"/>
      <w:r w:rsidR="00340587" w:rsidRPr="00E46649">
        <w:rPr>
          <w:rFonts w:cstheme="minorHAnsi"/>
        </w:rPr>
        <w:t>tévézés</w:t>
      </w:r>
      <w:proofErr w:type="spellEnd"/>
      <w:r w:rsidR="00340587" w:rsidRPr="00E46649">
        <w:rPr>
          <w:rFonts w:cstheme="minorHAnsi"/>
        </w:rPr>
        <w:t xml:space="preserve">, miközben </w:t>
      </w:r>
      <w:r w:rsidR="00EE7F36" w:rsidRPr="00E46649">
        <w:rPr>
          <w:rFonts w:cstheme="minorHAnsi"/>
        </w:rPr>
        <w:t xml:space="preserve">a magyar háztartások körülbelül egyharmada teljesen elzárkózik a </w:t>
      </w:r>
      <w:r w:rsidR="00113C1F">
        <w:rPr>
          <w:rFonts w:cstheme="minorHAnsi"/>
        </w:rPr>
        <w:t xml:space="preserve">jellemzően fizetős, lekérhető tartalmak fogyasztásától. </w:t>
      </w:r>
      <w:r w:rsidR="000D5A04" w:rsidRPr="00E46649">
        <w:rPr>
          <w:rFonts w:cstheme="minorHAnsi"/>
        </w:rPr>
        <w:t xml:space="preserve">A </w:t>
      </w:r>
      <w:r w:rsidR="00113C1F">
        <w:rPr>
          <w:rFonts w:cstheme="minorHAnsi"/>
        </w:rPr>
        <w:t xml:space="preserve">hagyományos </w:t>
      </w:r>
      <w:proofErr w:type="spellStart"/>
      <w:r w:rsidR="000D5A04" w:rsidRPr="00E46649">
        <w:rPr>
          <w:rFonts w:cstheme="minorHAnsi"/>
        </w:rPr>
        <w:t>tévézés</w:t>
      </w:r>
      <w:proofErr w:type="spellEnd"/>
      <w:r w:rsidR="000D5A04" w:rsidRPr="00E46649">
        <w:rPr>
          <w:rFonts w:cstheme="minorHAnsi"/>
        </w:rPr>
        <w:t xml:space="preserve"> domináns szerepe inkább megmarad a szerényebb pénzügyi körülmények között élő családokban</w:t>
      </w:r>
      <w:r w:rsidR="00B42B7D" w:rsidRPr="00E46649">
        <w:rPr>
          <w:rFonts w:cstheme="minorHAnsi"/>
        </w:rPr>
        <w:t xml:space="preserve"> [3. ábra]</w:t>
      </w:r>
      <w:r w:rsidR="000D5A04" w:rsidRPr="00E46649">
        <w:rPr>
          <w:rFonts w:cstheme="minorHAnsi"/>
        </w:rPr>
        <w:t xml:space="preserve">, továbbá a kisebb háztartásokban. A gyermekek jelenléte kedvezhet a </w:t>
      </w:r>
      <w:r w:rsidR="00113C1F">
        <w:rPr>
          <w:rFonts w:cstheme="minorHAnsi"/>
        </w:rPr>
        <w:t xml:space="preserve">fizetős tartalmaknak, </w:t>
      </w:r>
      <w:r w:rsidR="000D5A04" w:rsidRPr="00E46649">
        <w:rPr>
          <w:rFonts w:cstheme="minorHAnsi"/>
        </w:rPr>
        <w:t xml:space="preserve">míg a hagyományos, </w:t>
      </w:r>
      <w:proofErr w:type="spellStart"/>
      <w:r w:rsidR="000D5A04" w:rsidRPr="00E46649">
        <w:rPr>
          <w:rFonts w:cstheme="minorHAnsi"/>
        </w:rPr>
        <w:t>tévézés</w:t>
      </w:r>
      <w:proofErr w:type="spellEnd"/>
      <w:r w:rsidR="000D5A04" w:rsidRPr="00E46649">
        <w:rPr>
          <w:rFonts w:cstheme="minorHAnsi"/>
        </w:rPr>
        <w:t xml:space="preserve"> a továbbiakban is jellemzőbb lesz az idősebb és kisebb méretű háztartásokra. </w:t>
      </w:r>
    </w:p>
    <w:p w14:paraId="39677787" w14:textId="516147CA" w:rsidR="00A72366" w:rsidRDefault="00A72366" w:rsidP="00B42B7D">
      <w:pPr>
        <w:pStyle w:val="MEME-szveg"/>
        <w:rPr>
          <w:rFonts w:cstheme="minorHAnsi"/>
        </w:rPr>
      </w:pPr>
    </w:p>
    <w:p w14:paraId="1C0BF0BE" w14:textId="111F7321" w:rsidR="00A72366" w:rsidRDefault="00A72366" w:rsidP="00B42B7D">
      <w:pPr>
        <w:pStyle w:val="MEME-szveg"/>
        <w:rPr>
          <w:rFonts w:cstheme="minorHAnsi"/>
        </w:rPr>
      </w:pPr>
    </w:p>
    <w:p w14:paraId="7E90851D" w14:textId="14397D7D" w:rsidR="00A72366" w:rsidRDefault="00A72366" w:rsidP="00B42B7D">
      <w:pPr>
        <w:pStyle w:val="MEME-szveg"/>
        <w:rPr>
          <w:rFonts w:cstheme="minorHAnsi"/>
        </w:rPr>
      </w:pPr>
    </w:p>
    <w:p w14:paraId="7C8FD9AE" w14:textId="359EEE09" w:rsidR="00A72366" w:rsidRDefault="00A72366" w:rsidP="00B42B7D">
      <w:pPr>
        <w:pStyle w:val="MEME-szveg"/>
        <w:rPr>
          <w:rFonts w:cstheme="minorHAnsi"/>
        </w:rPr>
      </w:pPr>
    </w:p>
    <w:p w14:paraId="2D1E92A2" w14:textId="22EF8024" w:rsidR="00A72366" w:rsidRPr="00F47E86" w:rsidRDefault="00F222D3" w:rsidP="00F222D3">
      <w:pPr>
        <w:pStyle w:val="MEME-szveg"/>
        <w:jc w:val="center"/>
        <w:rPr>
          <w:color w:val="7F7F7F" w:themeColor="text1" w:themeTint="80"/>
          <w:sz w:val="22"/>
          <w:szCs w:val="22"/>
        </w:rPr>
      </w:pPr>
      <w:r w:rsidRPr="00F47E86">
        <w:rPr>
          <w:color w:val="7F7F7F" w:themeColor="text1" w:themeTint="80"/>
          <w:sz w:val="22"/>
          <w:szCs w:val="22"/>
        </w:rPr>
        <w:lastRenderedPageBreak/>
        <w:t>Hogy érzi, a következő 1 évben műsornézési, tartalomnézési szokásaik milyen irányban fognak változni?</w:t>
      </w:r>
    </w:p>
    <w:p w14:paraId="4D94A769" w14:textId="345B4E52" w:rsidR="00A72366" w:rsidRPr="00F47E86" w:rsidRDefault="00F47E86" w:rsidP="00F47E86">
      <w:pPr>
        <w:pStyle w:val="MEME-szveg"/>
        <w:jc w:val="center"/>
        <w:rPr>
          <w:rFonts w:cstheme="minorHAnsi"/>
          <w:color w:val="404040" w:themeColor="text1" w:themeTint="BF"/>
          <w:sz w:val="22"/>
          <w:szCs w:val="22"/>
        </w:rPr>
      </w:pPr>
      <w:r w:rsidRPr="00F47E86">
        <w:rPr>
          <w:color w:val="7F7F7F" w:themeColor="text1" w:themeTint="80"/>
          <w:sz w:val="22"/>
          <w:szCs w:val="22"/>
        </w:rPr>
        <w:t>Adatok %-ban</w:t>
      </w:r>
    </w:p>
    <w:p w14:paraId="6F6F0271" w14:textId="3E8B44C5" w:rsidR="00D14A4A" w:rsidRDefault="002B3396" w:rsidP="00D14A4A">
      <w:pPr>
        <w:pStyle w:val="MEME-szveg"/>
        <w:keepNext/>
      </w:pPr>
      <w:r w:rsidRPr="00121602">
        <w:rPr>
          <w:noProof/>
        </w:rPr>
        <w:drawing>
          <wp:inline distT="0" distB="0" distL="0" distR="0" wp14:anchorId="7FDA1AF8" wp14:editId="75866B1C">
            <wp:extent cx="6292850" cy="4657725"/>
            <wp:effectExtent l="0" t="0" r="12700" b="9525"/>
            <wp:docPr id="7" name="Diagram 7">
              <a:extLst xmlns:a="http://schemas.openxmlformats.org/drawingml/2006/main">
                <a:ext uri="{FF2B5EF4-FFF2-40B4-BE49-F238E27FC236}">
                  <a16:creationId xmlns:a16="http://schemas.microsoft.com/office/drawing/2014/main" id="{F3A32786-BB4C-41DF-362E-AA565FE35B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8B43920" w14:textId="6D549DD5" w:rsidR="00121602" w:rsidRDefault="00E27C87" w:rsidP="00D14A4A">
      <w:pPr>
        <w:pStyle w:val="Kpalrs"/>
        <w:jc w:val="both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2" w:name="_Toc118731082"/>
      <w:r w:rsidR="000D5A04">
        <w:rPr>
          <w:noProof/>
        </w:rPr>
        <w:t>3</w:t>
      </w:r>
      <w:r>
        <w:rPr>
          <w:noProof/>
        </w:rPr>
        <w:fldChar w:fldCharType="end"/>
      </w:r>
      <w:r w:rsidR="00D14A4A">
        <w:t xml:space="preserve">. ábra </w:t>
      </w:r>
      <w:bookmarkEnd w:id="2"/>
    </w:p>
    <w:p w14:paraId="34289551" w14:textId="77777777" w:rsidR="00BA16F9" w:rsidRPr="00BA16F9" w:rsidRDefault="00BA16F9" w:rsidP="00BA16F9">
      <w:pPr>
        <w:pStyle w:val="MEME-szveg"/>
        <w:rPr>
          <w:rFonts w:cstheme="minorHAnsi"/>
          <w:b/>
          <w:bCs/>
        </w:rPr>
      </w:pPr>
      <w:r w:rsidRPr="00BA16F9">
        <w:rPr>
          <w:rFonts w:cstheme="minorHAnsi"/>
          <w:b/>
          <w:bCs/>
        </w:rPr>
        <w:t>A nem hagyományos tévénézés zászlóshajója: a sorozatdarálás (</w:t>
      </w:r>
      <w:proofErr w:type="spellStart"/>
      <w:r w:rsidRPr="00BA16F9">
        <w:rPr>
          <w:rFonts w:cstheme="minorHAnsi"/>
          <w:b/>
          <w:bCs/>
        </w:rPr>
        <w:t>binge-watching</w:t>
      </w:r>
      <w:proofErr w:type="spellEnd"/>
      <w:r w:rsidRPr="00BA16F9">
        <w:rPr>
          <w:rFonts w:cstheme="minorHAnsi"/>
          <w:b/>
          <w:bCs/>
        </w:rPr>
        <w:t>)</w:t>
      </w:r>
    </w:p>
    <w:p w14:paraId="13F521DD" w14:textId="0A3910C2" w:rsidR="00BA16F9" w:rsidRPr="00BA16F9" w:rsidRDefault="00BA16F9" w:rsidP="00BA16F9">
      <w:pPr>
        <w:pStyle w:val="MEME-szveg"/>
        <w:rPr>
          <w:rFonts w:cstheme="minorHAnsi"/>
        </w:rPr>
      </w:pPr>
      <w:r w:rsidRPr="00BA16F9">
        <w:rPr>
          <w:rFonts w:cstheme="minorHAnsi"/>
        </w:rPr>
        <w:t>A sorozatdarálás – egyszerűbben darálás, maratoni sorozatnézés vagy „</w:t>
      </w:r>
      <w:proofErr w:type="spellStart"/>
      <w:r w:rsidRPr="00BA16F9">
        <w:rPr>
          <w:rFonts w:cstheme="minorHAnsi"/>
        </w:rPr>
        <w:t>bindzselés</w:t>
      </w:r>
      <w:proofErr w:type="spellEnd"/>
      <w:r w:rsidRPr="00BA16F9">
        <w:rPr>
          <w:rFonts w:cstheme="minorHAnsi"/>
        </w:rPr>
        <w:t xml:space="preserve">” – főképp </w:t>
      </w:r>
      <w:bookmarkStart w:id="3" w:name="_GoBack"/>
      <w:bookmarkEnd w:id="3"/>
      <w:r w:rsidRPr="00BA16F9">
        <w:rPr>
          <w:rFonts w:cstheme="minorHAnsi"/>
        </w:rPr>
        <w:t>televíziós sorozatok több</w:t>
      </w:r>
      <w:r w:rsidR="006E4368">
        <w:rPr>
          <w:rFonts w:cstheme="minorHAnsi"/>
        </w:rPr>
        <w:t xml:space="preserve"> </w:t>
      </w:r>
      <w:r w:rsidRPr="00BA16F9">
        <w:rPr>
          <w:rFonts w:cstheme="minorHAnsi"/>
        </w:rPr>
        <w:t xml:space="preserve">epizódjának vagy </w:t>
      </w:r>
      <w:proofErr w:type="spellStart"/>
      <w:r w:rsidRPr="00BA16F9">
        <w:rPr>
          <w:rFonts w:cstheme="minorHAnsi"/>
        </w:rPr>
        <w:t>évadának</w:t>
      </w:r>
      <w:proofErr w:type="spellEnd"/>
      <w:r w:rsidRPr="00BA16F9">
        <w:rPr>
          <w:rFonts w:cstheme="minorHAnsi"/>
        </w:rPr>
        <w:t xml:space="preserve"> egymás után, szinte szünet nélkül történő megnézés</w:t>
      </w:r>
      <w:r w:rsidR="006E4368">
        <w:rPr>
          <w:rFonts w:cstheme="minorHAnsi"/>
        </w:rPr>
        <w:t xml:space="preserve">ének </w:t>
      </w:r>
      <w:r w:rsidRPr="00BA16F9">
        <w:rPr>
          <w:rFonts w:cstheme="minorHAnsi"/>
        </w:rPr>
        <w:t xml:space="preserve">jelenség a streaming-szolgáltatások népszerűvé válásával lett egyre elterjedtebb, ahol a néző kedvére megtekinthet annyi filmet vagy sorozatot, amennyit csak szeretne. </w:t>
      </w:r>
    </w:p>
    <w:p w14:paraId="26069C15" w14:textId="0FD3551B" w:rsidR="00C81596" w:rsidRDefault="000D5A04" w:rsidP="00943D0C">
      <w:pPr>
        <w:pStyle w:val="MEME-szveg"/>
        <w:rPr>
          <w:rFonts w:cstheme="minorHAnsi"/>
        </w:rPr>
      </w:pPr>
      <w:r w:rsidRPr="00F222D3">
        <w:rPr>
          <w:rFonts w:cstheme="minorHAnsi"/>
        </w:rPr>
        <w:t>Ez a kutatás</w:t>
      </w:r>
      <w:r w:rsidR="001B1E93" w:rsidRPr="00F222D3">
        <w:rPr>
          <w:rFonts w:cstheme="minorHAnsi"/>
        </w:rPr>
        <w:t xml:space="preserve"> </w:t>
      </w:r>
      <w:r w:rsidR="00B42B7D" w:rsidRPr="00F222D3">
        <w:rPr>
          <w:rFonts w:cstheme="minorHAnsi"/>
        </w:rPr>
        <w:t>alátámasztja</w:t>
      </w:r>
      <w:r w:rsidR="001B1E93" w:rsidRPr="00F222D3">
        <w:rPr>
          <w:rFonts w:cstheme="minorHAnsi"/>
        </w:rPr>
        <w:t xml:space="preserve">, </w:t>
      </w:r>
      <w:r w:rsidR="00BB31E7" w:rsidRPr="00F222D3">
        <w:rPr>
          <w:rFonts w:cstheme="minorHAnsi"/>
        </w:rPr>
        <w:t xml:space="preserve">hogy </w:t>
      </w:r>
      <w:r w:rsidR="001B1E93" w:rsidRPr="00F222D3">
        <w:rPr>
          <w:rFonts w:cstheme="minorHAnsi"/>
        </w:rPr>
        <w:t xml:space="preserve">a sorozatnézés az a fő hívószó, amely a </w:t>
      </w:r>
      <w:r w:rsidR="00F222D3" w:rsidRPr="00F222D3">
        <w:rPr>
          <w:rFonts w:cstheme="minorHAnsi"/>
        </w:rPr>
        <w:t xml:space="preserve">hagyományos </w:t>
      </w:r>
      <w:proofErr w:type="spellStart"/>
      <w:r w:rsidR="001B1E93" w:rsidRPr="00F222D3">
        <w:rPr>
          <w:rFonts w:cstheme="minorHAnsi"/>
        </w:rPr>
        <w:t>tévézést</w:t>
      </w:r>
      <w:proofErr w:type="spellEnd"/>
      <w:r w:rsidR="001B1E93" w:rsidRPr="00F222D3">
        <w:rPr>
          <w:rFonts w:cstheme="minorHAnsi"/>
        </w:rPr>
        <w:t xml:space="preserve"> </w:t>
      </w:r>
      <w:r w:rsidR="00EE7F36" w:rsidRPr="00F222D3">
        <w:rPr>
          <w:rFonts w:cstheme="minorHAnsi"/>
        </w:rPr>
        <w:t>háttérbe szoríthat</w:t>
      </w:r>
      <w:r w:rsidR="00F222D3">
        <w:rPr>
          <w:rFonts w:cstheme="minorHAnsi"/>
        </w:rPr>
        <w:t>ja</w:t>
      </w:r>
      <w:r w:rsidR="00F222D3" w:rsidRPr="00F222D3">
        <w:rPr>
          <w:rFonts w:cstheme="minorHAnsi"/>
        </w:rPr>
        <w:t xml:space="preserve">. </w:t>
      </w:r>
      <w:r w:rsidR="00174E52" w:rsidRPr="00F222D3">
        <w:rPr>
          <w:rFonts w:cstheme="minorHAnsi"/>
        </w:rPr>
        <w:t xml:space="preserve"> </w:t>
      </w:r>
      <w:r w:rsidR="00F222D3">
        <w:rPr>
          <w:rFonts w:cstheme="minorHAnsi"/>
        </w:rPr>
        <w:t>É</w:t>
      </w:r>
      <w:r w:rsidR="00C81596" w:rsidRPr="00F222D3">
        <w:rPr>
          <w:rFonts w:cstheme="minorHAnsi"/>
        </w:rPr>
        <w:t xml:space="preserve">ppen azok a tartalomtípusok szerepelnek előkelő helyen a kívánságlistán a már </w:t>
      </w:r>
      <w:r w:rsidR="00BB31E7" w:rsidRPr="00F222D3">
        <w:rPr>
          <w:rFonts w:cstheme="minorHAnsi"/>
        </w:rPr>
        <w:t>streaming-</w:t>
      </w:r>
      <w:r w:rsidR="00C81596" w:rsidRPr="00F222D3">
        <w:rPr>
          <w:rFonts w:cstheme="minorHAnsi"/>
        </w:rPr>
        <w:t xml:space="preserve">előfizetők körében, amelyeknél a </w:t>
      </w:r>
      <w:r w:rsidR="00F222D3" w:rsidRPr="00F222D3">
        <w:rPr>
          <w:rFonts w:cstheme="minorHAnsi"/>
        </w:rPr>
        <w:t>„</w:t>
      </w:r>
      <w:proofErr w:type="spellStart"/>
      <w:r w:rsidR="00C81596" w:rsidRPr="00F222D3">
        <w:rPr>
          <w:rFonts w:cstheme="minorHAnsi"/>
        </w:rPr>
        <w:t>bin</w:t>
      </w:r>
      <w:r w:rsidR="00F222D3" w:rsidRPr="00F222D3">
        <w:rPr>
          <w:rFonts w:cstheme="minorHAnsi"/>
        </w:rPr>
        <w:t>dzselés</w:t>
      </w:r>
      <w:proofErr w:type="spellEnd"/>
      <w:r w:rsidR="00F222D3" w:rsidRPr="00F222D3">
        <w:rPr>
          <w:rFonts w:cstheme="minorHAnsi"/>
        </w:rPr>
        <w:t xml:space="preserve">” </w:t>
      </w:r>
      <w:r w:rsidR="00C81596" w:rsidRPr="00F222D3">
        <w:rPr>
          <w:rFonts w:cstheme="minorHAnsi"/>
        </w:rPr>
        <w:t xml:space="preserve">lehetősége </w:t>
      </w:r>
      <w:r w:rsidR="00F222D3" w:rsidRPr="00F222D3">
        <w:rPr>
          <w:rFonts w:cstheme="minorHAnsi"/>
        </w:rPr>
        <w:t xml:space="preserve">sokat ad a tévénézés élményéhez. </w:t>
      </w:r>
      <w:r w:rsidR="00C81596" w:rsidRPr="00F222D3">
        <w:rPr>
          <w:rFonts w:cstheme="minorHAnsi"/>
        </w:rPr>
        <w:t>Nem véletlen, hogy a nemlineáris szolgáltatásokat élvezők főleg</w:t>
      </w:r>
      <w:r w:rsidR="00924BD0" w:rsidRPr="00F222D3">
        <w:rPr>
          <w:rFonts w:cstheme="minorHAnsi"/>
        </w:rPr>
        <w:t xml:space="preserve"> a</w:t>
      </w:r>
      <w:r w:rsidR="00C81596" w:rsidRPr="00F222D3">
        <w:rPr>
          <w:rFonts w:cstheme="minorHAnsi"/>
        </w:rPr>
        <w:t xml:space="preserve"> </w:t>
      </w:r>
      <w:r w:rsidR="00924BD0" w:rsidRPr="00F222D3">
        <w:rPr>
          <w:rFonts w:cstheme="minorHAnsi"/>
        </w:rPr>
        <w:t xml:space="preserve">sorozatok, az akció-, kaland- és horrorfilmek vagy a </w:t>
      </w:r>
      <w:proofErr w:type="spellStart"/>
      <w:r w:rsidR="00924BD0" w:rsidRPr="00F222D3">
        <w:rPr>
          <w:rFonts w:cstheme="minorHAnsi"/>
        </w:rPr>
        <w:t>fantasy</w:t>
      </w:r>
      <w:proofErr w:type="spellEnd"/>
      <w:r w:rsidR="00924BD0" w:rsidRPr="00F222D3">
        <w:rPr>
          <w:rFonts w:cstheme="minorHAnsi"/>
        </w:rPr>
        <w:t xml:space="preserve">-k, sci-fik iránti vágyból </w:t>
      </w:r>
      <w:r w:rsidR="005C3A7F" w:rsidRPr="00F222D3">
        <w:rPr>
          <w:rFonts w:cstheme="minorHAnsi"/>
        </w:rPr>
        <w:t>fizettek elő.</w:t>
      </w:r>
    </w:p>
    <w:p w14:paraId="090C845B" w14:textId="1EB4CD8D" w:rsidR="00F47E86" w:rsidRDefault="00F47E86" w:rsidP="00943D0C">
      <w:pPr>
        <w:pStyle w:val="MEME-szveg"/>
        <w:rPr>
          <w:rFonts w:cstheme="minorHAnsi"/>
        </w:rPr>
      </w:pPr>
    </w:p>
    <w:p w14:paraId="193E6813" w14:textId="180FF115" w:rsidR="00F47E86" w:rsidRPr="00F47E86" w:rsidRDefault="00F47E86" w:rsidP="00F47E86">
      <w:pPr>
        <w:pStyle w:val="MEME-szveg"/>
        <w:jc w:val="center"/>
        <w:rPr>
          <w:color w:val="7F7F7F" w:themeColor="text1" w:themeTint="80"/>
          <w:sz w:val="22"/>
          <w:szCs w:val="22"/>
        </w:rPr>
      </w:pPr>
      <w:r w:rsidRPr="00F47E86">
        <w:rPr>
          <w:color w:val="7F7F7F" w:themeColor="text1" w:themeTint="80"/>
          <w:sz w:val="22"/>
          <w:szCs w:val="22"/>
        </w:rPr>
        <w:lastRenderedPageBreak/>
        <w:t xml:space="preserve">Milyen műsorokat néznek kifejezetten az előfizetéses vagy a szolgáltatón keresztül (is) elérhető médiatartalom-szolgáltatás keretében? </w:t>
      </w:r>
      <w:r w:rsidR="00B01623" w:rsidRPr="002B3396">
        <w:rPr>
          <w:color w:val="2F5496" w:themeColor="accent1" w:themeShade="BF"/>
          <w:sz w:val="22"/>
          <w:szCs w:val="22"/>
        </w:rPr>
        <w:t>(már előfizetők</w:t>
      </w:r>
      <w:r w:rsidR="00B01623">
        <w:rPr>
          <w:color w:val="7F7F7F" w:themeColor="text1" w:themeTint="80"/>
          <w:sz w:val="22"/>
          <w:szCs w:val="22"/>
        </w:rPr>
        <w:t>)</w:t>
      </w:r>
      <w:r w:rsidRPr="00F47E86">
        <w:rPr>
          <w:color w:val="7F7F7F" w:themeColor="text1" w:themeTint="80"/>
          <w:sz w:val="22"/>
          <w:szCs w:val="22"/>
        </w:rPr>
        <w:br/>
      </w:r>
      <w:r w:rsidRPr="00F47E86">
        <w:rPr>
          <w:b/>
          <w:bCs/>
          <w:color w:val="7F7F7F" w:themeColor="text1" w:themeTint="80"/>
          <w:sz w:val="22"/>
          <w:szCs w:val="22"/>
        </w:rPr>
        <w:t xml:space="preserve">illetve: </w:t>
      </w:r>
      <w:r w:rsidRPr="00F47E86">
        <w:rPr>
          <w:color w:val="7F7F7F" w:themeColor="text1" w:themeTint="80"/>
          <w:sz w:val="22"/>
          <w:szCs w:val="22"/>
        </w:rPr>
        <w:t>Milyen típusú műsorokat szeretne látni egy ilyen előfizetéses, havidíjas vagy a szolgáltatón keresztül kóddal (is) elérhető médiatartalom-szolgáltatás keretében</w:t>
      </w:r>
      <w:r w:rsidRPr="002B3396">
        <w:rPr>
          <w:color w:val="8EAADB" w:themeColor="accent1" w:themeTint="99"/>
          <w:sz w:val="22"/>
          <w:szCs w:val="22"/>
        </w:rPr>
        <w:t>?</w:t>
      </w:r>
      <w:r w:rsidR="00B01623" w:rsidRPr="002B3396">
        <w:rPr>
          <w:color w:val="8EAADB" w:themeColor="accent1" w:themeTint="99"/>
          <w:sz w:val="22"/>
          <w:szCs w:val="22"/>
        </w:rPr>
        <w:t xml:space="preserve"> (még nem fizetnek elő)</w:t>
      </w:r>
    </w:p>
    <w:p w14:paraId="5A685690" w14:textId="3BDB0FE0" w:rsidR="00F222D3" w:rsidRPr="00F47E86" w:rsidRDefault="00F47E86" w:rsidP="00F47E86">
      <w:pPr>
        <w:pStyle w:val="MEME-szveg"/>
        <w:jc w:val="center"/>
        <w:rPr>
          <w:rFonts w:cstheme="minorHAnsi"/>
          <w:sz w:val="22"/>
          <w:szCs w:val="22"/>
        </w:rPr>
      </w:pPr>
      <w:r w:rsidRPr="00F47E86">
        <w:rPr>
          <w:color w:val="7F7F7F" w:themeColor="text1" w:themeTint="80"/>
          <w:sz w:val="22"/>
          <w:szCs w:val="22"/>
        </w:rPr>
        <w:t>Adatok %-ban</w:t>
      </w:r>
    </w:p>
    <w:p w14:paraId="435D22CB" w14:textId="7EDD7168" w:rsidR="00F222D3" w:rsidRPr="00F222D3" w:rsidRDefault="00F47E86" w:rsidP="00943D0C">
      <w:pPr>
        <w:pStyle w:val="MEME-szveg"/>
        <w:rPr>
          <w:rFonts w:cstheme="minorHAnsi"/>
        </w:rPr>
      </w:pPr>
      <w:r>
        <w:rPr>
          <w:noProof/>
        </w:rPr>
        <w:drawing>
          <wp:inline distT="0" distB="0" distL="0" distR="0" wp14:anchorId="10549F3E" wp14:editId="188E4D25">
            <wp:extent cx="5759450" cy="3159632"/>
            <wp:effectExtent l="0" t="0" r="12700" b="3175"/>
            <wp:docPr id="8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2920119" w14:textId="22FD1462" w:rsidR="00AD2DF6" w:rsidRDefault="00E27C87" w:rsidP="00C81596">
      <w:pPr>
        <w:pStyle w:val="Kpalrs"/>
        <w:jc w:val="both"/>
      </w:pPr>
      <w:r>
        <w:fldChar w:fldCharType="begin"/>
      </w:r>
      <w:r>
        <w:instrText xml:space="preserve"> SEQ ábra \* ARABIC </w:instrText>
      </w:r>
      <w:r>
        <w:fldChar w:fldCharType="separate"/>
      </w:r>
      <w:bookmarkStart w:id="4" w:name="_Toc118731083"/>
      <w:r w:rsidR="00BB31E7">
        <w:rPr>
          <w:noProof/>
        </w:rPr>
        <w:t>4</w:t>
      </w:r>
      <w:r>
        <w:rPr>
          <w:noProof/>
        </w:rPr>
        <w:fldChar w:fldCharType="end"/>
      </w:r>
      <w:r w:rsidR="00C81596">
        <w:t>. ábra</w:t>
      </w:r>
      <w:bookmarkEnd w:id="4"/>
    </w:p>
    <w:p w14:paraId="44359905" w14:textId="77777777" w:rsidR="00F47E86" w:rsidRDefault="00F47E86" w:rsidP="00943D0C">
      <w:pPr>
        <w:pStyle w:val="MEME-szveg"/>
        <w:rPr>
          <w:rFonts w:cstheme="minorHAnsi"/>
          <w:color w:val="000000" w:themeColor="text1"/>
        </w:rPr>
      </w:pPr>
    </w:p>
    <w:p w14:paraId="3ABFB5BD" w14:textId="77777777" w:rsidR="00F47E86" w:rsidRDefault="00F47E86" w:rsidP="00943D0C">
      <w:pPr>
        <w:pStyle w:val="MEME-szveg"/>
        <w:rPr>
          <w:rFonts w:cstheme="minorHAnsi"/>
          <w:color w:val="000000" w:themeColor="text1"/>
        </w:rPr>
      </w:pPr>
    </w:p>
    <w:p w14:paraId="6422D92D" w14:textId="27F26E63" w:rsidR="00B01623" w:rsidRDefault="00B01623" w:rsidP="00943D0C">
      <w:pPr>
        <w:pStyle w:val="MEME-szveg"/>
        <w:rPr>
          <w:rFonts w:cstheme="minorHAnsi"/>
          <w:color w:val="000000" w:themeColor="text1"/>
        </w:rPr>
      </w:pPr>
    </w:p>
    <w:p w14:paraId="1A819A0B" w14:textId="78FF55CF" w:rsidR="00B01623" w:rsidRDefault="00B01623" w:rsidP="00943D0C">
      <w:pPr>
        <w:pStyle w:val="MEME-szveg"/>
        <w:rPr>
          <w:rFonts w:cstheme="minorHAnsi"/>
          <w:color w:val="000000" w:themeColor="text1"/>
        </w:rPr>
      </w:pPr>
    </w:p>
    <w:p w14:paraId="6F3B38C9" w14:textId="6FA672F9" w:rsidR="00B01623" w:rsidRDefault="00B01623" w:rsidP="00B01623">
      <w:pPr>
        <w:spacing w:after="0" w:line="240" w:lineRule="auto"/>
        <w:rPr>
          <w:sz w:val="18"/>
          <w:szCs w:val="18"/>
        </w:rPr>
      </w:pPr>
      <w:r w:rsidRPr="0073457C">
        <w:rPr>
          <w:sz w:val="18"/>
          <w:szCs w:val="18"/>
        </w:rPr>
        <w:t xml:space="preserve">A felmérés az </w:t>
      </w:r>
      <w:proofErr w:type="spellStart"/>
      <w:r w:rsidRPr="0073457C">
        <w:rPr>
          <w:sz w:val="18"/>
          <w:szCs w:val="18"/>
        </w:rPr>
        <w:t>Inspira</w:t>
      </w:r>
      <w:proofErr w:type="spellEnd"/>
      <w:r w:rsidRPr="0073457C">
        <w:rPr>
          <w:sz w:val="18"/>
          <w:szCs w:val="18"/>
        </w:rPr>
        <w:t xml:space="preserve"> Research kivitelezésében zajlott 2022. szeptemberében</w:t>
      </w:r>
      <w:r>
        <w:rPr>
          <w:sz w:val="18"/>
          <w:szCs w:val="18"/>
        </w:rPr>
        <w:t>, országos reprezentatív mintán,</w:t>
      </w:r>
      <w:r w:rsidRPr="0073457C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3000 magyar háztartás </w:t>
      </w:r>
      <w:r w:rsidRPr="0073457C">
        <w:rPr>
          <w:sz w:val="18"/>
          <w:szCs w:val="18"/>
        </w:rPr>
        <w:t>megkérdezésével</w:t>
      </w:r>
      <w:r>
        <w:rPr>
          <w:sz w:val="18"/>
          <w:szCs w:val="18"/>
        </w:rPr>
        <w:t xml:space="preserve">. </w:t>
      </w:r>
    </w:p>
    <w:p w14:paraId="768BE0C7" w14:textId="77777777" w:rsidR="00B01623" w:rsidRPr="00F47E86" w:rsidRDefault="00B01623" w:rsidP="00943D0C">
      <w:pPr>
        <w:pStyle w:val="MEME-szveg"/>
        <w:rPr>
          <w:rFonts w:cstheme="minorHAnsi"/>
          <w:color w:val="000000" w:themeColor="text1"/>
        </w:rPr>
      </w:pPr>
    </w:p>
    <w:sectPr w:rsidR="00B01623" w:rsidRPr="00F47E86" w:rsidSect="000F3E33">
      <w:headerReference w:type="default" r:id="rId12"/>
      <w:footerReference w:type="default" r:id="rId13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700A9" w14:textId="77777777" w:rsidR="00E27C87" w:rsidRDefault="00E27C87" w:rsidP="00377CA6">
      <w:pPr>
        <w:spacing w:after="0" w:line="240" w:lineRule="auto"/>
      </w:pPr>
      <w:r>
        <w:separator/>
      </w:r>
    </w:p>
  </w:endnote>
  <w:endnote w:type="continuationSeparator" w:id="0">
    <w:p w14:paraId="36F0CD33" w14:textId="77777777" w:rsidR="00E27C87" w:rsidRDefault="00E27C87" w:rsidP="0037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90EF7" w14:textId="10F5EB80" w:rsidR="00377CA6" w:rsidRDefault="00377CA6">
    <w:pPr>
      <w:pStyle w:val="llb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4558409A" wp14:editId="65B32923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Csoport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Téglalap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Szövegdoboz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AB998" w14:textId="2A8E3E8F" w:rsidR="00377CA6" w:rsidRDefault="00377CA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77CA6">
                              <w:rPr>
                                <w:color w:val="7F7F7F" w:themeColor="text1" w:themeTint="80"/>
                              </w:rPr>
                              <w:t>A TARTALOM- ÉS HÍRFOGYASZTÁS GAZDASÁGI MEGFONTOLÁSAI A HÁZTARTÁSOK SZINTJÉN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58409A" id="Csoport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">
              <v:rect id="Téglalap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14:paraId="1E4AB998" w14:textId="2A8E3E8F" w:rsidR="00377CA6" w:rsidRDefault="00377CA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  <w:r w:rsidRPr="00377CA6">
                        <w:rPr>
                          <w:color w:val="7F7F7F" w:themeColor="text1" w:themeTint="80"/>
                        </w:rPr>
                        <w:t>A TARTALOM- ÉS HÍRFOGYASZTÁS GAZDASÁGI MEGFONTOLÁSAI A HÁZTARTÁSOK SZINTJÉN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3E11B6" wp14:editId="593A3F78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10115550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Téglalap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7B306E" w14:textId="77777777" w:rsidR="00377CA6" w:rsidRPr="009D2D40" w:rsidRDefault="00377CA6">
                          <w:pPr>
                            <w:jc w:val="right"/>
                            <w:rPr>
                              <w:rFonts w:ascii="Trebuchet MS" w:hAnsi="Trebuchet MS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9D2D40">
                            <w:rPr>
                              <w:rFonts w:ascii="Trebuchet MS" w:hAnsi="Trebuchet MS"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9D2D40">
                            <w:rPr>
                              <w:rFonts w:ascii="Trebuchet MS" w:hAnsi="Trebuchet MS"/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 w:rsidRPr="009D2D40">
                            <w:rPr>
                              <w:rFonts w:ascii="Trebuchet MS" w:hAnsi="Trebuchet MS"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9D2D40">
                            <w:rPr>
                              <w:rFonts w:ascii="Trebuchet MS" w:hAnsi="Trebuchet MS"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 w:rsidRPr="009D2D40">
                            <w:rPr>
                              <w:rFonts w:ascii="Trebuchet MS" w:hAnsi="Trebuchet MS"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3E11B6" id="Téglalap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BvmjEDpAIAAJ8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14:paraId="357B306E" w14:textId="77777777" w:rsidR="00377CA6" w:rsidRPr="009D2D40" w:rsidRDefault="00377CA6">
                    <w:pPr>
                      <w:jc w:val="right"/>
                      <w:rPr>
                        <w:rFonts w:ascii="Trebuchet MS" w:hAnsi="Trebuchet MS"/>
                        <w:color w:val="FFFFFF" w:themeColor="background1"/>
                        <w:sz w:val="28"/>
                        <w:szCs w:val="28"/>
                      </w:rPr>
                    </w:pPr>
                    <w:r w:rsidRPr="009D2D40">
                      <w:rPr>
                        <w:rFonts w:ascii="Trebuchet MS" w:hAnsi="Trebuchet MS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9D2D40">
                      <w:rPr>
                        <w:rFonts w:ascii="Trebuchet MS" w:hAnsi="Trebuchet MS"/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 w:rsidRPr="009D2D40">
                      <w:rPr>
                        <w:rFonts w:ascii="Trebuchet MS" w:hAnsi="Trebuchet MS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Pr="009D2D40">
                      <w:rPr>
                        <w:rFonts w:ascii="Trebuchet MS" w:hAnsi="Trebuchet MS"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 w:rsidRPr="009D2D40">
                      <w:rPr>
                        <w:rFonts w:ascii="Trebuchet MS" w:hAnsi="Trebuchet MS"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1BE92" w14:textId="77777777" w:rsidR="00E27C87" w:rsidRDefault="00E27C87" w:rsidP="00377CA6">
      <w:pPr>
        <w:spacing w:after="0" w:line="240" w:lineRule="auto"/>
      </w:pPr>
      <w:r>
        <w:separator/>
      </w:r>
    </w:p>
  </w:footnote>
  <w:footnote w:type="continuationSeparator" w:id="0">
    <w:p w14:paraId="320EA280" w14:textId="77777777" w:rsidR="00E27C87" w:rsidRDefault="00E27C87" w:rsidP="00377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CB159" w14:textId="677995CC" w:rsidR="00377CA6" w:rsidRDefault="00377CA6" w:rsidP="00377CA6">
    <w:pPr>
      <w:pStyle w:val="lfej"/>
      <w:jc w:val="right"/>
    </w:pPr>
    <w:r>
      <w:rPr>
        <w:noProof/>
      </w:rPr>
      <w:drawing>
        <wp:inline distT="0" distB="0" distL="0" distR="0" wp14:anchorId="5C94AF42" wp14:editId="4F145589">
          <wp:extent cx="1327150" cy="702049"/>
          <wp:effectExtent l="0" t="0" r="6350" b="317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434" cy="71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21C34">
      <w:rPr>
        <w:b/>
        <w:bCs/>
        <w:noProof/>
        <w:sz w:val="24"/>
        <w:szCs w:val="24"/>
      </w:rPr>
      <w:drawing>
        <wp:inline distT="0" distB="0" distL="0" distR="0" wp14:anchorId="3E74A4B3" wp14:editId="1BDF4EF5">
          <wp:extent cx="1428750" cy="208631"/>
          <wp:effectExtent l="0" t="0" r="0" b="1270"/>
          <wp:docPr id="12" name="Picture 14" descr="C:\Documents and Settings\krisztina.wrana\Local Settings\Temporary Internet Files\Content.Word\Meme_logo.png">
            <a:extLst xmlns:a="http://schemas.openxmlformats.org/drawingml/2006/main">
              <a:ext uri="{FF2B5EF4-FFF2-40B4-BE49-F238E27FC236}">
                <a16:creationId xmlns:a16="http://schemas.microsoft.com/office/drawing/2014/main" id="{CBF592D0-0287-66B6-7CE6-CD5FFEACD5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4" descr="C:\Documents and Settings\krisztina.wrana\Local Settings\Temporary Internet Files\Content.Word\Meme_logo.png">
                    <a:extLst>
                      <a:ext uri="{FF2B5EF4-FFF2-40B4-BE49-F238E27FC236}">
                        <a16:creationId xmlns:a16="http://schemas.microsoft.com/office/drawing/2014/main" id="{CBF592D0-0287-66B6-7CE6-CD5FFEACD56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62" cy="21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046F9"/>
    <w:multiLevelType w:val="hybridMultilevel"/>
    <w:tmpl w:val="F8A457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874B6"/>
    <w:multiLevelType w:val="hybridMultilevel"/>
    <w:tmpl w:val="90E2C402"/>
    <w:lvl w:ilvl="0" w:tplc="F67ED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A6"/>
    <w:rsid w:val="00070CB8"/>
    <w:rsid w:val="00077F62"/>
    <w:rsid w:val="0008089A"/>
    <w:rsid w:val="00090888"/>
    <w:rsid w:val="000B14F0"/>
    <w:rsid w:val="000B4F10"/>
    <w:rsid w:val="000D5A04"/>
    <w:rsid w:val="000F21FF"/>
    <w:rsid w:val="000F3E33"/>
    <w:rsid w:val="00102D9B"/>
    <w:rsid w:val="00113C1F"/>
    <w:rsid w:val="00117144"/>
    <w:rsid w:val="00121602"/>
    <w:rsid w:val="001253D1"/>
    <w:rsid w:val="00151785"/>
    <w:rsid w:val="00174E52"/>
    <w:rsid w:val="0019387C"/>
    <w:rsid w:val="001A0EAA"/>
    <w:rsid w:val="001A6EEB"/>
    <w:rsid w:val="001B1E93"/>
    <w:rsid w:val="00280E53"/>
    <w:rsid w:val="002921AA"/>
    <w:rsid w:val="002A206E"/>
    <w:rsid w:val="002B3396"/>
    <w:rsid w:val="00340587"/>
    <w:rsid w:val="00377CA6"/>
    <w:rsid w:val="00380B05"/>
    <w:rsid w:val="00405CCC"/>
    <w:rsid w:val="00413A01"/>
    <w:rsid w:val="004424D8"/>
    <w:rsid w:val="004514F1"/>
    <w:rsid w:val="004D0C0F"/>
    <w:rsid w:val="004D584B"/>
    <w:rsid w:val="004F7BE0"/>
    <w:rsid w:val="00553FCC"/>
    <w:rsid w:val="00596A69"/>
    <w:rsid w:val="005C2F81"/>
    <w:rsid w:val="005C3A7F"/>
    <w:rsid w:val="005E6CC5"/>
    <w:rsid w:val="00617DA6"/>
    <w:rsid w:val="00660B53"/>
    <w:rsid w:val="006909C9"/>
    <w:rsid w:val="006A2124"/>
    <w:rsid w:val="006C5D50"/>
    <w:rsid w:val="006E4368"/>
    <w:rsid w:val="007127E4"/>
    <w:rsid w:val="00755E4F"/>
    <w:rsid w:val="0077128B"/>
    <w:rsid w:val="00792934"/>
    <w:rsid w:val="007B1F6B"/>
    <w:rsid w:val="00832C0B"/>
    <w:rsid w:val="00842867"/>
    <w:rsid w:val="008742A5"/>
    <w:rsid w:val="008768D8"/>
    <w:rsid w:val="008F0367"/>
    <w:rsid w:val="008F2D48"/>
    <w:rsid w:val="008F61C7"/>
    <w:rsid w:val="00904BCF"/>
    <w:rsid w:val="009132FF"/>
    <w:rsid w:val="00924BD0"/>
    <w:rsid w:val="00943D0C"/>
    <w:rsid w:val="009A2B44"/>
    <w:rsid w:val="009C0B9F"/>
    <w:rsid w:val="009D2D40"/>
    <w:rsid w:val="00A72366"/>
    <w:rsid w:val="00AC4B28"/>
    <w:rsid w:val="00AD2DF6"/>
    <w:rsid w:val="00AF124E"/>
    <w:rsid w:val="00B01623"/>
    <w:rsid w:val="00B42B7D"/>
    <w:rsid w:val="00BA16F9"/>
    <w:rsid w:val="00BB31E7"/>
    <w:rsid w:val="00C47EA4"/>
    <w:rsid w:val="00C81596"/>
    <w:rsid w:val="00C855B6"/>
    <w:rsid w:val="00C95A4D"/>
    <w:rsid w:val="00C976A6"/>
    <w:rsid w:val="00CE6791"/>
    <w:rsid w:val="00D14A4A"/>
    <w:rsid w:val="00D23281"/>
    <w:rsid w:val="00D61F1A"/>
    <w:rsid w:val="00DD4F67"/>
    <w:rsid w:val="00DE61DA"/>
    <w:rsid w:val="00E104DA"/>
    <w:rsid w:val="00E24660"/>
    <w:rsid w:val="00E2518A"/>
    <w:rsid w:val="00E27C87"/>
    <w:rsid w:val="00E4344E"/>
    <w:rsid w:val="00E46649"/>
    <w:rsid w:val="00E90A3D"/>
    <w:rsid w:val="00EE7F36"/>
    <w:rsid w:val="00F12A2F"/>
    <w:rsid w:val="00F222D3"/>
    <w:rsid w:val="00F23469"/>
    <w:rsid w:val="00F47E86"/>
    <w:rsid w:val="00F543EB"/>
    <w:rsid w:val="00F84BC0"/>
    <w:rsid w:val="00FA4A62"/>
    <w:rsid w:val="00FB554C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C3CE8"/>
  <w15:chartTrackingRefBased/>
  <w15:docId w15:val="{EBE2E37F-D160-4F29-9863-5B18E3AE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77C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7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7CA6"/>
  </w:style>
  <w:style w:type="paragraph" w:styleId="llb">
    <w:name w:val="footer"/>
    <w:basedOn w:val="Norml"/>
    <w:link w:val="llbChar"/>
    <w:uiPriority w:val="99"/>
    <w:unhideWhenUsed/>
    <w:rsid w:val="00377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7CA6"/>
  </w:style>
  <w:style w:type="character" w:customStyle="1" w:styleId="Cmsor1Char">
    <w:name w:val="Címsor 1 Char"/>
    <w:basedOn w:val="Bekezdsalapbettpusa"/>
    <w:link w:val="Cmsor1"/>
    <w:uiPriority w:val="9"/>
    <w:rsid w:val="00377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EME-Cmsor">
    <w:name w:val="MEME - Címsor"/>
    <w:basedOn w:val="Cmsor1"/>
    <w:link w:val="MEME-CmsorChar"/>
    <w:qFormat/>
    <w:rsid w:val="00377CA6"/>
    <w:pPr>
      <w:spacing w:before="480" w:after="480" w:line="240" w:lineRule="auto"/>
      <w:jc w:val="center"/>
    </w:pPr>
    <w:rPr>
      <w:rFonts w:ascii="Trebuchet MS" w:hAnsi="Trebuchet MS"/>
    </w:rPr>
  </w:style>
  <w:style w:type="paragraph" w:customStyle="1" w:styleId="MEME-Cmsor1">
    <w:name w:val="MEME - Címsor 1"/>
    <w:basedOn w:val="Norml"/>
    <w:link w:val="MEME-Cmsor1Char"/>
    <w:qFormat/>
    <w:rsid w:val="00377CA6"/>
    <w:pPr>
      <w:pBdr>
        <w:bottom w:val="single" w:sz="4" w:space="1" w:color="auto"/>
      </w:pBdr>
      <w:spacing w:before="480" w:after="240" w:line="240" w:lineRule="auto"/>
    </w:pPr>
    <w:rPr>
      <w:rFonts w:ascii="Trebuchet MS" w:hAnsi="Trebuchet MS"/>
      <w:b/>
      <w:bCs/>
      <w:sz w:val="24"/>
      <w:szCs w:val="24"/>
    </w:rPr>
  </w:style>
  <w:style w:type="character" w:customStyle="1" w:styleId="MEME-CmsorChar">
    <w:name w:val="MEME - Címsor Char"/>
    <w:basedOn w:val="Cmsor1Char"/>
    <w:link w:val="MEME-Cmsor"/>
    <w:rsid w:val="00377CA6"/>
    <w:rPr>
      <w:rFonts w:ascii="Trebuchet MS" w:eastAsiaTheme="majorEastAsia" w:hAnsi="Trebuchet MS" w:cstheme="majorBidi"/>
      <w:color w:val="2F5496" w:themeColor="accent1" w:themeShade="BF"/>
      <w:sz w:val="32"/>
      <w:szCs w:val="32"/>
    </w:rPr>
  </w:style>
  <w:style w:type="paragraph" w:customStyle="1" w:styleId="MEME-szveg">
    <w:name w:val="MEME - szöveg"/>
    <w:basedOn w:val="Norml"/>
    <w:link w:val="MEME-szvegChar"/>
    <w:qFormat/>
    <w:rsid w:val="00377CA6"/>
    <w:pPr>
      <w:spacing w:before="120" w:after="120" w:line="240" w:lineRule="auto"/>
      <w:jc w:val="both"/>
    </w:pPr>
    <w:rPr>
      <w:sz w:val="24"/>
      <w:szCs w:val="24"/>
    </w:rPr>
  </w:style>
  <w:style w:type="character" w:customStyle="1" w:styleId="MEME-Cmsor1Char">
    <w:name w:val="MEME - Címsor 1 Char"/>
    <w:basedOn w:val="Bekezdsalapbettpusa"/>
    <w:link w:val="MEME-Cmsor1"/>
    <w:rsid w:val="00377CA6"/>
    <w:rPr>
      <w:rFonts w:ascii="Trebuchet MS" w:hAnsi="Trebuchet MS"/>
      <w:b/>
      <w:bCs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768D8"/>
    <w:pPr>
      <w:spacing w:after="0" w:line="240" w:lineRule="auto"/>
    </w:pPr>
    <w:rPr>
      <w:sz w:val="20"/>
      <w:szCs w:val="20"/>
    </w:rPr>
  </w:style>
  <w:style w:type="character" w:customStyle="1" w:styleId="MEME-szvegChar">
    <w:name w:val="MEME - szöveg Char"/>
    <w:basedOn w:val="Bekezdsalapbettpusa"/>
    <w:link w:val="MEME-szveg"/>
    <w:rsid w:val="00377CA6"/>
    <w:rPr>
      <w:sz w:val="24"/>
      <w:szCs w:val="24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768D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768D8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8768D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68D8"/>
    <w:rPr>
      <w:color w:val="605E5C"/>
      <w:shd w:val="clear" w:color="auto" w:fill="E1DFDD"/>
    </w:rPr>
  </w:style>
  <w:style w:type="paragraph" w:styleId="Kpalrs">
    <w:name w:val="caption"/>
    <w:basedOn w:val="Norml"/>
    <w:next w:val="Norml"/>
    <w:uiPriority w:val="35"/>
    <w:unhideWhenUsed/>
    <w:qFormat/>
    <w:rsid w:val="0009088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ajegyzk">
    <w:name w:val="table of figures"/>
    <w:basedOn w:val="Norml"/>
    <w:next w:val="Norml"/>
    <w:uiPriority w:val="99"/>
    <w:unhideWhenUsed/>
    <w:rsid w:val="00D23281"/>
    <w:pPr>
      <w:spacing w:after="0"/>
    </w:pPr>
  </w:style>
  <w:style w:type="character" w:styleId="Mrltotthiperhivatkozs">
    <w:name w:val="FollowedHyperlink"/>
    <w:basedOn w:val="Bekezdsalapbettpusa"/>
    <w:uiPriority w:val="99"/>
    <w:semiHidden/>
    <w:unhideWhenUsed/>
    <w:rsid w:val="00755E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100" b="0">
                <a:solidFill>
                  <a:srgbClr val="862633"/>
                </a:solidFill>
              </a:rPr>
              <a:t> Az adott csatornán </a:t>
            </a:r>
            <a:r>
              <a:rPr lang="hu-HU" sz="1100" b="1">
                <a:solidFill>
                  <a:srgbClr val="862633"/>
                </a:solidFill>
              </a:rPr>
              <a:t>éppen adásban lévő műsorokat </a:t>
            </a:r>
            <a:r>
              <a:rPr lang="hu-HU" sz="1100" b="0">
                <a:solidFill>
                  <a:srgbClr val="862633"/>
                </a:solidFill>
              </a:rPr>
              <a:t>milyen eszközökön szokták megtekinteni? </a:t>
            </a:r>
            <a:endParaRPr lang="hu-HU" sz="1100" b="0"/>
          </a:p>
          <a:p>
            <a:pPr>
              <a:defRPr sz="1100"/>
            </a:pPr>
            <a:r>
              <a:rPr lang="hu-HU" sz="1100" b="0" baseline="0">
                <a:solidFill>
                  <a:srgbClr val="D38235"/>
                </a:solidFill>
              </a:rPr>
              <a:t>Milyen eszközökön szokták nézni a </a:t>
            </a:r>
            <a:r>
              <a:rPr lang="hu-HU" sz="1100" b="1" baseline="0">
                <a:solidFill>
                  <a:srgbClr val="D38235"/>
                </a:solidFill>
              </a:rPr>
              <a:t>"lekérhető" (kölcsönözhető, előfizetéses vagy külön kóddal elérhető) méditartalmakat</a:t>
            </a:r>
            <a:r>
              <a:rPr lang="hu-HU" sz="1100" b="0" baseline="0">
                <a:solidFill>
                  <a:srgbClr val="D38235"/>
                </a:solidFill>
              </a:rPr>
              <a:t>?</a:t>
            </a:r>
          </a:p>
        </c:rich>
      </c:tx>
      <c:layout>
        <c:manualLayout>
          <c:xMode val="edge"/>
          <c:yMode val="edge"/>
          <c:x val="0.12099537037037035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Lineáris tévézés esetében</c:v>
                </c:pt>
              </c:strCache>
            </c:strRef>
          </c:tx>
          <c:spPr>
            <a:solidFill>
              <a:srgbClr val="86263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862633"/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Munka1!$A$2:$A$6</c:f>
              <c:strCache>
                <c:ptCount val="5"/>
                <c:pt idx="0">
                  <c:v>Televízión</c:v>
                </c:pt>
                <c:pt idx="1">
                  <c:v>Laptopon, számítógépen</c:v>
                </c:pt>
                <c:pt idx="2">
                  <c:v>Okostelefonon applikációban</c:v>
                </c:pt>
                <c:pt idx="3">
                  <c:v>Tableten vagy iPaden applikációban</c:v>
                </c:pt>
                <c:pt idx="4">
                  <c:v>Egyéb platformon</c:v>
                </c:pt>
              </c:strCache>
            </c:strRef>
          </c:cat>
          <c:val>
            <c:numRef>
              <c:f>Munka1!$B$2:$B$6</c:f>
              <c:numCache>
                <c:formatCode>0</c:formatCode>
                <c:ptCount val="5"/>
                <c:pt idx="0">
                  <c:v>90.456758950564975</c:v>
                </c:pt>
                <c:pt idx="1">
                  <c:v>24.958376335405326</c:v>
                </c:pt>
                <c:pt idx="2">
                  <c:v>22.383407203180045</c:v>
                </c:pt>
                <c:pt idx="3">
                  <c:v>7.8910276610608783</c:v>
                </c:pt>
                <c:pt idx="4">
                  <c:v>0.31902333862529836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C0-4EFC-B356-31B6535E0539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Nemlineáris tévézés esetében</c:v>
                </c:pt>
              </c:strCache>
            </c:strRef>
          </c:tx>
          <c:spPr>
            <a:solidFill>
              <a:srgbClr val="D3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rgbClr val="D38235"/>
                    </a:solidFill>
                    <a:latin typeface="Trebuchet MS" panose="020B0603020202020204" pitchFamily="34" charset="0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Munka1!$A$2:$A$6</c:f>
              <c:strCache>
                <c:ptCount val="5"/>
                <c:pt idx="0">
                  <c:v>Televízión</c:v>
                </c:pt>
                <c:pt idx="1">
                  <c:v>Laptopon, számítógépen</c:v>
                </c:pt>
                <c:pt idx="2">
                  <c:v>Okostelefonon applikációban</c:v>
                </c:pt>
                <c:pt idx="3">
                  <c:v>Tableten vagy iPaden applikációban</c:v>
                </c:pt>
                <c:pt idx="4">
                  <c:v>Egyéb platformon</c:v>
                </c:pt>
              </c:strCache>
            </c:strRef>
          </c:cat>
          <c:val>
            <c:numRef>
              <c:f>Munka1!$C$2:$C$6</c:f>
              <c:numCache>
                <c:formatCode>0</c:formatCode>
                <c:ptCount val="5"/>
                <c:pt idx="0">
                  <c:v>81.47675472822354</c:v>
                </c:pt>
                <c:pt idx="1">
                  <c:v>30.480834997357288</c:v>
                </c:pt>
                <c:pt idx="2">
                  <c:v>27.91346663623543</c:v>
                </c:pt>
                <c:pt idx="3">
                  <c:v>10.326313706955617</c:v>
                </c:pt>
                <c:pt idx="4">
                  <c:v>0.81247931817691166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C0-4EFC-B356-31B6535E05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4856496"/>
        <c:axId val="264842352"/>
      </c:barChart>
      <c:catAx>
        <c:axId val="264856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64842352"/>
        <c:crosses val="autoZero"/>
        <c:auto val="1"/>
        <c:lblAlgn val="ctr"/>
        <c:lblOffset val="100"/>
        <c:noMultiLvlLbl val="0"/>
      </c:catAx>
      <c:valAx>
        <c:axId val="264842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hu-HU"/>
                  <a:t>A háztartások %-ában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hu-HU"/>
            </a:p>
          </c:txPr>
        </c:title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648564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sz="1100"/>
              <a:t>Ha az összes műsornézési idejüket 100%-nak vesszük, akkor hogyan oszlik meg ez az arány a </a:t>
            </a:r>
            <a:r>
              <a:rPr lang="hu-HU" sz="1100" b="1">
                <a:solidFill>
                  <a:srgbClr val="800000"/>
                </a:solidFill>
              </a:rPr>
              <a:t>hagyományos</a:t>
            </a:r>
            <a:r>
              <a:rPr lang="hu-HU" sz="1100" b="1" baseline="0">
                <a:solidFill>
                  <a:srgbClr val="800000"/>
                </a:solidFill>
              </a:rPr>
              <a:t> televíziózás</a:t>
            </a:r>
            <a:r>
              <a:rPr lang="hu-HU" sz="1100" b="1">
                <a:solidFill>
                  <a:srgbClr val="800000"/>
                </a:solidFill>
              </a:rPr>
              <a:t> </a:t>
            </a:r>
            <a:r>
              <a:rPr lang="hu-HU" sz="1100"/>
              <a:t>(tehát amikor az éppen műsoron lévő adást tekintik meg bármilyen eszközön vagy akár applikáción keresztül) és </a:t>
            </a:r>
            <a:r>
              <a:rPr lang="hu-HU" sz="1100" b="1">
                <a:solidFill>
                  <a:schemeClr val="accent2"/>
                </a:solidFill>
              </a:rPr>
              <a:t>a "lekérhető" (kölcsönözhető, </a:t>
            </a:r>
            <a:endParaRPr lang="hu-HU" sz="1100" baseline="0"/>
          </a:p>
        </c:rich>
      </c:tx>
      <c:layout>
        <c:manualLayout>
          <c:xMode val="edge"/>
          <c:yMode val="edge"/>
          <c:x val="9.9510334645669288E-2"/>
          <c:y val="5.4869684499314125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>
        <c:manualLayout>
          <c:layoutTarget val="inner"/>
          <c:xMode val="edge"/>
          <c:yMode val="edge"/>
          <c:x val="0.3173106477268231"/>
          <c:y val="0.21344458485899143"/>
          <c:w val="0.66488494968279721"/>
          <c:h val="0.72623505395158927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Lineáris</c:v>
                </c:pt>
              </c:strCache>
            </c:strRef>
          </c:tx>
          <c:spPr>
            <a:solidFill>
              <a:srgbClr val="862633"/>
            </a:solidFill>
            <a:ln>
              <a:solidFill>
                <a:schemeClr val="bg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97" b="1" i="0" u="none" strike="noStrike" kern="1200" baseline="0">
                    <a:solidFill>
                      <a:schemeClr val="bg2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Munka1!$A$2:$A$13</c:f>
              <c:strCache>
                <c:ptCount val="12"/>
                <c:pt idx="0">
                  <c:v>Mindenki, akinek van fizetős tartalomszolgáltatása</c:v>
                </c:pt>
                <c:pt idx="2">
                  <c:v>Csak WIFI-vel rendelkeznek</c:v>
                </c:pt>
                <c:pt idx="3">
                  <c:v>Csak mobiladat-előfizetéssel rendelkeznek</c:v>
                </c:pt>
                <c:pt idx="4">
                  <c:v>WIFI-vel és mobiladattal is rendelkeznek</c:v>
                </c:pt>
                <c:pt idx="5">
                  <c:v>Nincs semmilyen internet-előfizetése</c:v>
                </c:pt>
                <c:pt idx="7">
                  <c:v>Legfeljebb 200.000 Ft</c:v>
                </c:pt>
                <c:pt idx="8">
                  <c:v>200.001-300.000 Ft</c:v>
                </c:pt>
                <c:pt idx="9">
                  <c:v>300.001-400.000 Ft</c:v>
                </c:pt>
                <c:pt idx="10">
                  <c:v>400.001-500.000 Ft</c:v>
                </c:pt>
                <c:pt idx="11">
                  <c:v>Több, mint 500.000 Ft</c:v>
                </c:pt>
              </c:strCache>
            </c:strRef>
          </c:cat>
          <c:val>
            <c:numRef>
              <c:f>Munka1!$B$2:$B$13</c:f>
              <c:numCache>
                <c:formatCode>General</c:formatCode>
                <c:ptCount val="12"/>
                <c:pt idx="0" formatCode="0">
                  <c:v>56.434972477442514</c:v>
                </c:pt>
                <c:pt idx="2" formatCode="0">
                  <c:v>61.204656914671986</c:v>
                </c:pt>
                <c:pt idx="3" formatCode="0">
                  <c:v>51.940906028819093</c:v>
                </c:pt>
                <c:pt idx="4" formatCode="0">
                  <c:v>54.861731856989508</c:v>
                </c:pt>
                <c:pt idx="5" formatCode="0">
                  <c:v>79.166666666666671</c:v>
                </c:pt>
                <c:pt idx="7" formatCode="0">
                  <c:v>62.139601049786648</c:v>
                </c:pt>
                <c:pt idx="8" formatCode="0">
                  <c:v>60.572687377656649</c:v>
                </c:pt>
                <c:pt idx="9" formatCode="0">
                  <c:v>60.160087615374763</c:v>
                </c:pt>
                <c:pt idx="10" formatCode="0">
                  <c:v>55.010011538626941</c:v>
                </c:pt>
                <c:pt idx="11" formatCode="0">
                  <c:v>52.610046552741586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9E-47A1-9DEA-C387F6771C2D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Nemlineáris</c:v>
                </c:pt>
              </c:strCache>
            </c:strRef>
          </c:tx>
          <c:spPr>
            <a:solidFill>
              <a:srgbClr val="D38235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97" b="1" i="0" u="none" strike="noStrike" kern="1200" baseline="0">
                    <a:solidFill>
                      <a:schemeClr val="bg2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Munka1!$A$2:$A$13</c:f>
              <c:strCache>
                <c:ptCount val="12"/>
                <c:pt idx="0">
                  <c:v>Mindenki, akinek van fizetős tartalomszolgáltatása</c:v>
                </c:pt>
                <c:pt idx="2">
                  <c:v>Csak WIFI-vel rendelkeznek</c:v>
                </c:pt>
                <c:pt idx="3">
                  <c:v>Csak mobiladat-előfizetéssel rendelkeznek</c:v>
                </c:pt>
                <c:pt idx="4">
                  <c:v>WIFI-vel és mobiladattal is rendelkeznek</c:v>
                </c:pt>
                <c:pt idx="5">
                  <c:v>Nincs semmilyen internet-előfizetése</c:v>
                </c:pt>
                <c:pt idx="7">
                  <c:v>Legfeljebb 200.000 Ft</c:v>
                </c:pt>
                <c:pt idx="8">
                  <c:v>200.001-300.000 Ft</c:v>
                </c:pt>
                <c:pt idx="9">
                  <c:v>300.001-400.000 Ft</c:v>
                </c:pt>
                <c:pt idx="10">
                  <c:v>400.001-500.000 Ft</c:v>
                </c:pt>
                <c:pt idx="11">
                  <c:v>Több, mint 500.000 Ft</c:v>
                </c:pt>
              </c:strCache>
            </c:strRef>
          </c:cat>
          <c:val>
            <c:numRef>
              <c:f>Munka1!$C$2:$C$13</c:f>
              <c:numCache>
                <c:formatCode>General</c:formatCode>
                <c:ptCount val="12"/>
                <c:pt idx="0" formatCode="0">
                  <c:v>43.565027522557486</c:v>
                </c:pt>
                <c:pt idx="2" formatCode="0">
                  <c:v>38.795343085328014</c:v>
                </c:pt>
                <c:pt idx="3" formatCode="0">
                  <c:v>48.059093971180907</c:v>
                </c:pt>
                <c:pt idx="4" formatCode="0">
                  <c:v>45.138268143010492</c:v>
                </c:pt>
                <c:pt idx="5" formatCode="0">
                  <c:v>20.833333333333329</c:v>
                </c:pt>
                <c:pt idx="7" formatCode="0">
                  <c:v>37.860398950213352</c:v>
                </c:pt>
                <c:pt idx="8" formatCode="0">
                  <c:v>39.427312622343351</c:v>
                </c:pt>
                <c:pt idx="9" formatCode="0">
                  <c:v>39.839912384625237</c:v>
                </c:pt>
                <c:pt idx="10" formatCode="0">
                  <c:v>44.989988461373059</c:v>
                </c:pt>
                <c:pt idx="11" formatCode="0">
                  <c:v>47.389953447258414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9E-47A1-9DEA-C387F6771C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100"/>
        <c:axId val="638342751"/>
        <c:axId val="638360223"/>
      </c:barChart>
      <c:catAx>
        <c:axId val="638342751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638360223"/>
        <c:crosses val="autoZero"/>
        <c:auto val="1"/>
        <c:lblAlgn val="ctr"/>
        <c:lblOffset val="100"/>
        <c:noMultiLvlLbl val="0"/>
      </c:catAx>
      <c:valAx>
        <c:axId val="638360223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6383427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0207901796178455"/>
          <c:y val="2.0402507326582019E-2"/>
          <c:w val="0.69792098203821551"/>
          <c:h val="0.5409400437848493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Simán (pl. tévécsatornák) televíziót fogunk nézni, amelyek megtekintéséért nem kell külön fizetni</c:v>
                </c:pt>
              </c:strCache>
            </c:strRef>
          </c:tx>
          <c:spPr>
            <a:solidFill>
              <a:srgbClr val="862633"/>
            </a:solidFill>
            <a:ln>
              <a:solidFill>
                <a:schemeClr val="bg2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97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Munka1!$A$2:$A$8</c:f>
              <c:strCache>
                <c:ptCount val="7"/>
                <c:pt idx="0">
                  <c:v>Minden magyar háztartás</c:v>
                </c:pt>
                <c:pt idx="2">
                  <c:v>Legfeljebb 200.000 Ft jövedelem</c:v>
                </c:pt>
                <c:pt idx="3">
                  <c:v>200.001-300.000 Ft jövedelem</c:v>
                </c:pt>
                <c:pt idx="4">
                  <c:v>300.001-400.000 Ft jövedelem</c:v>
                </c:pt>
                <c:pt idx="5">
                  <c:v>400.001-500.000 Ft jövedelem</c:v>
                </c:pt>
                <c:pt idx="6">
                  <c:v>Több, mint 500.000 Ft jövedelem</c:v>
                </c:pt>
              </c:strCache>
            </c:strRef>
          </c:cat>
          <c:val>
            <c:numRef>
              <c:f>Munka1!$B$2:$B$8</c:f>
              <c:numCache>
                <c:formatCode>General</c:formatCode>
                <c:ptCount val="7"/>
                <c:pt idx="0" formatCode="0">
                  <c:v>24.979339140226795</c:v>
                </c:pt>
                <c:pt idx="2" formatCode="0">
                  <c:v>37.542948505967914</c:v>
                </c:pt>
                <c:pt idx="3" formatCode="0">
                  <c:v>29.056375040573908</c:v>
                </c:pt>
                <c:pt idx="4" formatCode="0">
                  <c:v>26.585853806607162</c:v>
                </c:pt>
                <c:pt idx="5" formatCode="0">
                  <c:v>19.610959001883746</c:v>
                </c:pt>
                <c:pt idx="6" formatCode="0">
                  <c:v>15.205522168854852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F5F-4C85-9980-DAD3E9B8B773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Inkább simán (pl. tévécsatornák) televíziót fogunk nézni, amelyek megtekintéséért nem kell külön fizetni</c:v>
                </c:pt>
              </c:strCache>
            </c:strRef>
          </c:tx>
          <c:spPr>
            <a:solidFill>
              <a:srgbClr val="F0CACF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97" b="1" i="0" u="none" strike="noStrike" kern="1200" baseline="0">
                    <a:solidFill>
                      <a:schemeClr val="accent6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Munka1!$A$2:$A$8</c:f>
              <c:strCache>
                <c:ptCount val="7"/>
                <c:pt idx="0">
                  <c:v>Minden magyar háztartás</c:v>
                </c:pt>
                <c:pt idx="2">
                  <c:v>Legfeljebb 200.000 Ft jövedelem</c:v>
                </c:pt>
                <c:pt idx="3">
                  <c:v>200.001-300.000 Ft jövedelem</c:v>
                </c:pt>
                <c:pt idx="4">
                  <c:v>300.001-400.000 Ft jövedelem</c:v>
                </c:pt>
                <c:pt idx="5">
                  <c:v>400.001-500.000 Ft jövedelem</c:v>
                </c:pt>
                <c:pt idx="6">
                  <c:v>Több, mint 500.000 Ft jövedelem</c:v>
                </c:pt>
              </c:strCache>
            </c:strRef>
          </c:cat>
          <c:val>
            <c:numRef>
              <c:f>Munka1!$C$2:$C$8</c:f>
              <c:numCache>
                <c:formatCode>General</c:formatCode>
                <c:ptCount val="7"/>
                <c:pt idx="0" formatCode="0">
                  <c:v>21.012547687621076</c:v>
                </c:pt>
                <c:pt idx="2" formatCode="0">
                  <c:v>27.733354569774988</c:v>
                </c:pt>
                <c:pt idx="3" formatCode="0">
                  <c:v>26.181804570985467</c:v>
                </c:pt>
                <c:pt idx="4" formatCode="0">
                  <c:v>20.563738266150345</c:v>
                </c:pt>
                <c:pt idx="5" formatCode="0">
                  <c:v>18.56265908991984</c:v>
                </c:pt>
                <c:pt idx="6" formatCode="0">
                  <c:v>15.551584763946627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F5F-4C85-9980-DAD3E9B8B773}"/>
            </c:ext>
          </c:extLst>
        </c:ser>
        <c:ser>
          <c:idx val="2"/>
          <c:order val="2"/>
          <c:tx>
            <c:strRef>
              <c:f>Munka1!$D$1</c:f>
              <c:strCache>
                <c:ptCount val="1"/>
                <c:pt idx="0">
                  <c:v>Ugyanannyit fogunk tévéadásokat és lekérhető (kölcsönözhető, előfizetéses vagy külön kóddal elérhető) médiatartalmakat nézni</c:v>
                </c:pt>
              </c:strCache>
            </c:strRef>
          </c:tx>
          <c:spPr>
            <a:solidFill>
              <a:srgbClr val="4B3048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97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Munka1!$A$2:$A$8</c:f>
              <c:strCache>
                <c:ptCount val="7"/>
                <c:pt idx="0">
                  <c:v>Minden magyar háztartás</c:v>
                </c:pt>
                <c:pt idx="2">
                  <c:v>Legfeljebb 200.000 Ft jövedelem</c:v>
                </c:pt>
                <c:pt idx="3">
                  <c:v>200.001-300.000 Ft jövedelem</c:v>
                </c:pt>
                <c:pt idx="4">
                  <c:v>300.001-400.000 Ft jövedelem</c:v>
                </c:pt>
                <c:pt idx="5">
                  <c:v>400.001-500.000 Ft jövedelem</c:v>
                </c:pt>
                <c:pt idx="6">
                  <c:v>Több, mint 500.000 Ft jövedelem</c:v>
                </c:pt>
              </c:strCache>
            </c:strRef>
          </c:cat>
          <c:val>
            <c:numRef>
              <c:f>Munka1!$D$2:$D$8</c:f>
              <c:numCache>
                <c:formatCode>General</c:formatCode>
                <c:ptCount val="7"/>
                <c:pt idx="0" formatCode="0">
                  <c:v>27.587295468561628</c:v>
                </c:pt>
                <c:pt idx="2" formatCode="0">
                  <c:v>13.308852931518231</c:v>
                </c:pt>
                <c:pt idx="3" formatCode="0">
                  <c:v>20.743853134656966</c:v>
                </c:pt>
                <c:pt idx="4" formatCode="0">
                  <c:v>27.893602571729332</c:v>
                </c:pt>
                <c:pt idx="5" formatCode="0">
                  <c:v>36.658073845233034</c:v>
                </c:pt>
                <c:pt idx="6" formatCode="0">
                  <c:v>37.572678819961141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F5F-4C85-9980-DAD3E9B8B773}"/>
            </c:ext>
          </c:extLst>
        </c:ser>
        <c:ser>
          <c:idx val="3"/>
          <c:order val="3"/>
          <c:tx>
            <c:strRef>
              <c:f>Munka1!$E$1</c:f>
              <c:strCache>
                <c:ptCount val="1"/>
                <c:pt idx="0">
                  <c:v>Inkább lekérhető (kölcsönözhető, előfizetésben vagy külön kóddal elérhető) médiatartalmak fogunk nézni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lang="en-US" sz="1197" b="1" i="0" u="none" strike="noStrike" kern="120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FF5F-4C85-9980-DAD3E9B8B773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lang="en-US" sz="1197" b="1" i="0" u="none" strike="noStrike" kern="120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FF5F-4C85-9980-DAD3E9B8B7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97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Munka1!$A$2:$A$8</c:f>
              <c:strCache>
                <c:ptCount val="7"/>
                <c:pt idx="0">
                  <c:v>Minden magyar háztartás</c:v>
                </c:pt>
                <c:pt idx="2">
                  <c:v>Legfeljebb 200.000 Ft jövedelem</c:v>
                </c:pt>
                <c:pt idx="3">
                  <c:v>200.001-300.000 Ft jövedelem</c:v>
                </c:pt>
                <c:pt idx="4">
                  <c:v>300.001-400.000 Ft jövedelem</c:v>
                </c:pt>
                <c:pt idx="5">
                  <c:v>400.001-500.000 Ft jövedelem</c:v>
                </c:pt>
                <c:pt idx="6">
                  <c:v>Több, mint 500.000 Ft jövedelem</c:v>
                </c:pt>
              </c:strCache>
            </c:strRef>
          </c:cat>
          <c:val>
            <c:numRef>
              <c:f>Munka1!$E$2:$E$8</c:f>
              <c:numCache>
                <c:formatCode>General</c:formatCode>
                <c:ptCount val="7"/>
                <c:pt idx="0" formatCode="0">
                  <c:v>6.8529056970436626</c:v>
                </c:pt>
                <c:pt idx="2" formatCode="0">
                  <c:v>2.4122423008852594</c:v>
                </c:pt>
                <c:pt idx="3" formatCode="0">
                  <c:v>4.8352717623700974</c:v>
                </c:pt>
                <c:pt idx="4" formatCode="0">
                  <c:v>6.2960568640627974</c:v>
                </c:pt>
                <c:pt idx="5" formatCode="0">
                  <c:v>7.6371247456362079</c:v>
                </c:pt>
                <c:pt idx="6" formatCode="0">
                  <c:v>12.39777983159852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FF5F-4C85-9980-DAD3E9B8B773}"/>
            </c:ext>
          </c:extLst>
        </c:ser>
        <c:ser>
          <c:idx val="4"/>
          <c:order val="4"/>
          <c:tx>
            <c:strRef>
              <c:f>Munka1!$F$1</c:f>
              <c:strCache>
                <c:ptCount val="1"/>
                <c:pt idx="0">
                  <c:v>Csak lekérhető (kölcsönözhető, előfizetésben vagy külön kóddal elérhető) médiatartalmak fogunk nézni, simán televízióadásokat nem</c:v>
                </c:pt>
              </c:strCache>
            </c:strRef>
          </c:tx>
          <c:spPr>
            <a:solidFill>
              <a:schemeClr val="accent2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lang="en-US" sz="1197" b="1" i="0" u="none" strike="noStrike" kern="120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FF5F-4C85-9980-DAD3E9B8B773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lang="en-US" sz="1197" b="1" i="0" u="none" strike="noStrike" kern="120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hu-H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FF5F-4C85-9980-DAD3E9B8B7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97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Munka1!$A$2:$A$8</c:f>
              <c:strCache>
                <c:ptCount val="7"/>
                <c:pt idx="0">
                  <c:v>Minden magyar háztartás</c:v>
                </c:pt>
                <c:pt idx="2">
                  <c:v>Legfeljebb 200.000 Ft jövedelem</c:v>
                </c:pt>
                <c:pt idx="3">
                  <c:v>200.001-300.000 Ft jövedelem</c:v>
                </c:pt>
                <c:pt idx="4">
                  <c:v>300.001-400.000 Ft jövedelem</c:v>
                </c:pt>
                <c:pt idx="5">
                  <c:v>400.001-500.000 Ft jövedelem</c:v>
                </c:pt>
                <c:pt idx="6">
                  <c:v>Több, mint 500.000 Ft jövedelem</c:v>
                </c:pt>
              </c:strCache>
            </c:strRef>
          </c:cat>
          <c:val>
            <c:numRef>
              <c:f>Munka1!$F$2:$F$8</c:f>
              <c:numCache>
                <c:formatCode>General</c:formatCode>
                <c:ptCount val="7"/>
                <c:pt idx="0" formatCode="0">
                  <c:v>5.7335817505552704</c:v>
                </c:pt>
                <c:pt idx="2" formatCode="0">
                  <c:v>1.8384052401286937</c:v>
                </c:pt>
                <c:pt idx="3" formatCode="0">
                  <c:v>4.4685030784541935</c:v>
                </c:pt>
                <c:pt idx="4" formatCode="0">
                  <c:v>5.8946594163847932</c:v>
                </c:pt>
                <c:pt idx="5" formatCode="0">
                  <c:v>8.1200504442225654</c:v>
                </c:pt>
                <c:pt idx="6" formatCode="0">
                  <c:v>8.5561964987261394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FF5F-4C85-9980-DAD3E9B8B773}"/>
            </c:ext>
          </c:extLst>
        </c:ser>
        <c:ser>
          <c:idx val="5"/>
          <c:order val="5"/>
          <c:tx>
            <c:strRef>
              <c:f>Munka1!$G$1</c:f>
              <c:strCache>
                <c:ptCount val="1"/>
                <c:pt idx="0">
                  <c:v>A következő egy évben semmilyen tartalmat, műsort nem fogunk nézni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bg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lang="en-US" sz="1197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Munka1!$A$2:$A$8</c:f>
              <c:strCache>
                <c:ptCount val="7"/>
                <c:pt idx="0">
                  <c:v>Minden magyar háztartás</c:v>
                </c:pt>
                <c:pt idx="2">
                  <c:v>Legfeljebb 200.000 Ft jövedelem</c:v>
                </c:pt>
                <c:pt idx="3">
                  <c:v>200.001-300.000 Ft jövedelem</c:v>
                </c:pt>
                <c:pt idx="4">
                  <c:v>300.001-400.000 Ft jövedelem</c:v>
                </c:pt>
                <c:pt idx="5">
                  <c:v>400.001-500.000 Ft jövedelem</c:v>
                </c:pt>
                <c:pt idx="6">
                  <c:v>Több, mint 500.000 Ft jövedelem</c:v>
                </c:pt>
              </c:strCache>
            </c:strRef>
          </c:cat>
          <c:val>
            <c:numRef>
              <c:f>Munka1!$G$2:$G$8</c:f>
              <c:numCache>
                <c:formatCode>General</c:formatCode>
                <c:ptCount val="7"/>
                <c:pt idx="0" formatCode="0">
                  <c:v>3.6149998192514854</c:v>
                </c:pt>
                <c:pt idx="2" formatCode="0">
                  <c:v>5.7510995820987789</c:v>
                </c:pt>
                <c:pt idx="3" formatCode="0">
                  <c:v>2.9881307296841313</c:v>
                </c:pt>
                <c:pt idx="4" formatCode="0">
                  <c:v>4.9428543679171959</c:v>
                </c:pt>
                <c:pt idx="5" formatCode="0">
                  <c:v>2.1416463851744161</c:v>
                </c:pt>
                <c:pt idx="6" formatCode="0">
                  <c:v>2.6056802386263205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FF5F-4C85-9980-DAD3E9B8B773}"/>
            </c:ext>
          </c:extLst>
        </c:ser>
        <c:ser>
          <c:idx val="6"/>
          <c:order val="6"/>
          <c:tx>
            <c:strRef>
              <c:f>Munka1!$H$1</c:f>
              <c:strCache>
                <c:ptCount val="1"/>
                <c:pt idx="0">
                  <c:v>NT/NV</c:v>
                </c:pt>
              </c:strCache>
            </c:strRef>
          </c:tx>
          <c:spPr>
            <a:solidFill>
              <a:schemeClr val="bg2"/>
            </a:solidFill>
            <a:ln>
              <a:solidFill>
                <a:schemeClr val="bg1"/>
              </a:solidFill>
            </a:ln>
            <a:effectLst/>
          </c:spPr>
          <c:invertIfNegative val="0"/>
          <c:cat>
            <c:strRef>
              <c:f>Munka1!$A$2:$A$8</c:f>
              <c:strCache>
                <c:ptCount val="7"/>
                <c:pt idx="0">
                  <c:v>Minden magyar háztartás</c:v>
                </c:pt>
                <c:pt idx="2">
                  <c:v>Legfeljebb 200.000 Ft jövedelem</c:v>
                </c:pt>
                <c:pt idx="3">
                  <c:v>200.001-300.000 Ft jövedelem</c:v>
                </c:pt>
                <c:pt idx="4">
                  <c:v>300.001-400.000 Ft jövedelem</c:v>
                </c:pt>
                <c:pt idx="5">
                  <c:v>400.001-500.000 Ft jövedelem</c:v>
                </c:pt>
                <c:pt idx="6">
                  <c:v>Több, mint 500.000 Ft jövedelem</c:v>
                </c:pt>
              </c:strCache>
            </c:strRef>
          </c:cat>
          <c:val>
            <c:numRef>
              <c:f>Munka1!$H$2:$H$8</c:f>
              <c:numCache>
                <c:formatCode>General</c:formatCode>
                <c:ptCount val="7"/>
                <c:pt idx="0" formatCode="0">
                  <c:v>10.219330436741012</c:v>
                </c:pt>
                <c:pt idx="2" formatCode="0">
                  <c:v>11.413096869626166</c:v>
                </c:pt>
                <c:pt idx="3" formatCode="0">
                  <c:v>11.726061683275269</c:v>
                </c:pt>
                <c:pt idx="4" formatCode="0">
                  <c:v>7.8232347071482788</c:v>
                </c:pt>
                <c:pt idx="5" formatCode="0">
                  <c:v>7.2694864879299308</c:v>
                </c:pt>
                <c:pt idx="6" formatCode="0">
                  <c:v>8.1105576782866642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F5F-4C85-9980-DAD3E9B8B7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5"/>
        <c:overlap val="100"/>
        <c:axId val="638342751"/>
        <c:axId val="638360223"/>
      </c:barChart>
      <c:catAx>
        <c:axId val="638342751"/>
        <c:scaling>
          <c:orientation val="maxMin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638360223"/>
        <c:crosses val="autoZero"/>
        <c:auto val="1"/>
        <c:lblAlgn val="ctr"/>
        <c:lblOffset val="100"/>
        <c:noMultiLvlLbl val="0"/>
      </c:catAx>
      <c:valAx>
        <c:axId val="638360223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extTo"/>
        <c:crossAx val="6383427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6"/>
        <c:delete val="1"/>
      </c:legendEntry>
      <c:layout>
        <c:manualLayout>
          <c:xMode val="edge"/>
          <c:yMode val="edge"/>
          <c:x val="3.7831737405481423E-2"/>
          <c:y val="0.58076807883677117"/>
          <c:w val="0.93328505971980713"/>
          <c:h val="0.410015404516153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 Light" panose="020F0302020204030204" pitchFamily="34" charset="0"/>
              <a:ea typeface="+mn-ea"/>
              <a:cs typeface="Calibri Light" panose="020F0302020204030204" pitchFamily="34" charset="0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3006889763779527"/>
          <c:y val="4.3650793650793648E-2"/>
          <c:w val="0.56204093104506925"/>
          <c:h val="0.9370034995625546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Már előfizetők</c:v>
                </c:pt>
              </c:strCache>
            </c:strRef>
          </c:tx>
          <c:spPr>
            <a:solidFill>
              <a:schemeClr val="accent1">
                <a:shade val="76000"/>
              </a:schemeClr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1B1-4565-82FE-B7165872E13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E1B1-4565-82FE-B7165872E139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E1B1-4565-82FE-B7165872E139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E1B1-4565-82FE-B7165872E139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E1B1-4565-82FE-B7165872E1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862633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Munka1!$A$2:$A$13</c:f>
              <c:strCache>
                <c:ptCount val="12"/>
                <c:pt idx="0">
                  <c:v>Vígjáték</c:v>
                </c:pt>
                <c:pt idx="1">
                  <c:v>Sorozatok</c:v>
                </c:pt>
                <c:pt idx="2">
                  <c:v>Akció, kaland</c:v>
                </c:pt>
                <c:pt idx="3">
                  <c:v>Családi filmek</c:v>
                </c:pt>
                <c:pt idx="4">
                  <c:v>Bűnügy, krimi</c:v>
                </c:pt>
                <c:pt idx="5">
                  <c:v>Ismeretterjesztő műsorok, dokumentumfilmek</c:v>
                </c:pt>
                <c:pt idx="6">
                  <c:v>Premier filmek, újdonságok</c:v>
                </c:pt>
                <c:pt idx="7">
                  <c:v>Thriller</c:v>
                </c:pt>
                <c:pt idx="8">
                  <c:v>Sci-fi</c:v>
                </c:pt>
                <c:pt idx="9">
                  <c:v>Fantasy</c:v>
                </c:pt>
                <c:pt idx="10">
                  <c:v>Örökzöldek, retrófilmek</c:v>
                </c:pt>
                <c:pt idx="11">
                  <c:v>Horror</c:v>
                </c:pt>
              </c:strCache>
            </c:strRef>
          </c:cat>
          <c:val>
            <c:numRef>
              <c:f>Munka1!$B$2:$B$13</c:f>
              <c:numCache>
                <c:formatCode>0</c:formatCode>
                <c:ptCount val="12"/>
                <c:pt idx="0">
                  <c:v>55.107456923550203</c:v>
                </c:pt>
                <c:pt idx="1">
                  <c:v>58.626413239687899</c:v>
                </c:pt>
                <c:pt idx="2">
                  <c:v>49.493570305987483</c:v>
                </c:pt>
                <c:pt idx="3">
                  <c:v>41.631026617260645</c:v>
                </c:pt>
                <c:pt idx="4">
                  <c:v>38.585705658836524</c:v>
                </c:pt>
                <c:pt idx="5">
                  <c:v>29.034988274780066</c:v>
                </c:pt>
                <c:pt idx="6">
                  <c:v>34.625621289227681</c:v>
                </c:pt>
                <c:pt idx="7">
                  <c:v>36.710293411405779</c:v>
                </c:pt>
                <c:pt idx="8">
                  <c:v>36.171624813254589</c:v>
                </c:pt>
                <c:pt idx="9">
                  <c:v>32.492905175961674</c:v>
                </c:pt>
                <c:pt idx="10">
                  <c:v>20.022444698173146</c:v>
                </c:pt>
                <c:pt idx="11">
                  <c:v>25.519275482168506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1B1-4565-82FE-B7165872E139}"/>
            </c:ext>
          </c:extLst>
        </c:ser>
        <c:ser>
          <c:idx val="1"/>
          <c:order val="1"/>
          <c:tx>
            <c:strRef>
              <c:f>Munka1!$C$1</c:f>
              <c:strCache>
                <c:ptCount val="1"/>
                <c:pt idx="0">
                  <c:v>Még nem fizetnek elő</c:v>
                </c:pt>
              </c:strCache>
            </c:strRef>
          </c:tx>
          <c:spPr>
            <a:solidFill>
              <a:schemeClr val="accent1">
                <a:tint val="77000"/>
              </a:schemeClr>
            </a:solidFill>
            <a:ln>
              <a:noFill/>
            </a:ln>
            <a:effectLst/>
          </c:spPr>
          <c:invertIfNegative val="0"/>
          <c:dPt>
            <c:idx val="5"/>
            <c:invertIfNegative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E1B1-4565-82FE-B7165872E139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E1B1-4565-82FE-B7165872E1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4B3048"/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Munka1!$A$2:$A$13</c:f>
              <c:strCache>
                <c:ptCount val="12"/>
                <c:pt idx="0">
                  <c:v>Vígjáték</c:v>
                </c:pt>
                <c:pt idx="1">
                  <c:v>Sorozatok</c:v>
                </c:pt>
                <c:pt idx="2">
                  <c:v>Akció, kaland</c:v>
                </c:pt>
                <c:pt idx="3">
                  <c:v>Családi filmek</c:v>
                </c:pt>
                <c:pt idx="4">
                  <c:v>Bűnügy, krimi</c:v>
                </c:pt>
                <c:pt idx="5">
                  <c:v>Ismeretterjesztő műsorok, dokumentumfilmek</c:v>
                </c:pt>
                <c:pt idx="6">
                  <c:v>Premier filmek, újdonságok</c:v>
                </c:pt>
                <c:pt idx="7">
                  <c:v>Thriller</c:v>
                </c:pt>
                <c:pt idx="8">
                  <c:v>Sci-fi</c:v>
                </c:pt>
                <c:pt idx="9">
                  <c:v>Fantasy</c:v>
                </c:pt>
                <c:pt idx="10">
                  <c:v>Örökzöldek, retrófilmek</c:v>
                </c:pt>
                <c:pt idx="11">
                  <c:v>Horror</c:v>
                </c:pt>
              </c:strCache>
            </c:strRef>
          </c:cat>
          <c:val>
            <c:numRef>
              <c:f>Munka1!$C$2:$C$13</c:f>
              <c:numCache>
                <c:formatCode>0</c:formatCode>
                <c:ptCount val="12"/>
                <c:pt idx="0">
                  <c:v>51.108829135035606</c:v>
                </c:pt>
                <c:pt idx="1">
                  <c:v>45.729894177337819</c:v>
                </c:pt>
                <c:pt idx="2">
                  <c:v>44.092223593085436</c:v>
                </c:pt>
                <c:pt idx="3">
                  <c:v>40.887578272437068</c:v>
                </c:pt>
                <c:pt idx="4">
                  <c:v>35.293030511941474</c:v>
                </c:pt>
                <c:pt idx="5">
                  <c:v>32.950551647795265</c:v>
                </c:pt>
                <c:pt idx="6">
                  <c:v>32.926318476434894</c:v>
                </c:pt>
                <c:pt idx="7">
                  <c:v>32.88482237651349</c:v>
                </c:pt>
                <c:pt idx="8">
                  <c:v>30.721420139648398</c:v>
                </c:pt>
                <c:pt idx="9">
                  <c:v>27.304350163986417</c:v>
                </c:pt>
                <c:pt idx="10">
                  <c:v>24.612943276956972</c:v>
                </c:pt>
                <c:pt idx="11">
                  <c:v>21.304829928601809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E1B1-4565-82FE-B7165872E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409628384"/>
        <c:axId val="409669568"/>
      </c:barChart>
      <c:catAx>
        <c:axId val="40962838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09669568"/>
        <c:crosses val="autoZero"/>
        <c:auto val="1"/>
        <c:lblAlgn val="ctr"/>
        <c:lblOffset val="100"/>
        <c:noMultiLvlLbl val="0"/>
      </c:catAx>
      <c:valAx>
        <c:axId val="409669568"/>
        <c:scaling>
          <c:orientation val="minMax"/>
        </c:scaling>
        <c:delete val="1"/>
        <c:axPos val="t"/>
        <c:numFmt formatCode="0" sourceLinked="1"/>
        <c:majorTickMark val="none"/>
        <c:minorTickMark val="none"/>
        <c:tickLblPos val="nextTo"/>
        <c:crossAx val="409628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291138086905805"/>
          <c:y val="0.75843207099112608"/>
          <c:w val="0.2309364975211432"/>
          <c:h val="0.1225203099612548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5998-5C1C-41AA-956C-79C2E68C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767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TARTALOM- ÉS HÍRFOGYASZTÁS GAZDASÁGI MEGFONTOLÁSAI A HÁZTARTÁSOK SZINTJÉN</vt:lpstr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TARTALOM- ÉS HÍRFOGYASZTÁS GAZDASÁGI MEGFONTOLÁSAI A HÁZTARTÁSOK SZINTJÉN</dc:title>
  <dc:subject/>
  <dc:creator>Szilágyi Ákos;akos.szilagyi@inspira.hu</dc:creator>
  <cp:keywords>A TARTALOM- ÉS HÍRFOGYASZTÁS GAZDASÁGI MEGFONTOLÁSAI A HÁZTARTÁSOK SZINTJÉN</cp:keywords>
  <dc:description/>
  <cp:lastModifiedBy>Nati</cp:lastModifiedBy>
  <cp:revision>2</cp:revision>
  <dcterms:created xsi:type="dcterms:W3CDTF">2022-11-29T09:36:00Z</dcterms:created>
  <dcterms:modified xsi:type="dcterms:W3CDTF">2022-11-29T09:36:00Z</dcterms:modified>
</cp:coreProperties>
</file>